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66F4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66A11" w:rsidP="00C66A11">
            <w:pPr>
              <w:rPr>
                <w:b/>
              </w:rPr>
            </w:pPr>
            <w:r>
              <w:rPr>
                <w:rStyle w:val="Firstpagetablebold"/>
              </w:rPr>
              <w:t>10</w:t>
            </w:r>
            <w:r w:rsidR="00177372">
              <w:rPr>
                <w:rStyle w:val="Firstpagetablebold"/>
              </w:rPr>
              <w:t xml:space="preserve"> </w:t>
            </w:r>
            <w:r w:rsidR="00965E39">
              <w:rPr>
                <w:rStyle w:val="Firstpagetablebold"/>
              </w:rPr>
              <w:t>Ju</w:t>
            </w:r>
            <w:r>
              <w:rPr>
                <w:rStyle w:val="Firstpagetablebold"/>
              </w:rPr>
              <w:t>ly</w:t>
            </w:r>
            <w:r w:rsidR="00A51D06">
              <w:rPr>
                <w:rStyle w:val="Firstpagetablebold"/>
              </w:rPr>
              <w:t xml:space="preserve"> </w:t>
            </w:r>
            <w:r w:rsidR="00177372">
              <w:rPr>
                <w:rStyle w:val="Firstpagetablebold"/>
              </w:rPr>
              <w:t>201</w:t>
            </w:r>
            <w:r>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C66A11">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C66A11">
              <w:rPr>
                <w:rStyle w:val="Firstpagetablebold"/>
              </w:rPr>
              <w:t>8</w:t>
            </w:r>
            <w:r w:rsidR="00C00652">
              <w:rPr>
                <w:rStyle w:val="Firstpagetablebold"/>
              </w:rPr>
              <w:t>/</w:t>
            </w:r>
            <w:r>
              <w:rPr>
                <w:rStyle w:val="Firstpagetablebold"/>
              </w:rPr>
              <w:t>1</w:t>
            </w:r>
            <w:r w:rsidR="00C66A11">
              <w:rPr>
                <w:rStyle w:val="Firstpagetablebold"/>
              </w:rPr>
              <w:t>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965E39">
            <w:r>
              <w:t xml:space="preserve">To update Members on Finance, Risk and Performance as at </w:t>
            </w:r>
            <w:r w:rsidR="00965E39">
              <w:t>the end of the financial year</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966F41">
            <w:r>
              <w:rPr>
                <w:rStyle w:val="Firstpagetablebold"/>
              </w:rPr>
              <w:t>Recommendation(s):</w:t>
            </w:r>
            <w:r w:rsidR="007E64F0">
              <w:rPr>
                <w:rStyle w:val="Firstpagetablebold"/>
              </w:rPr>
              <w:t xml:space="preserve"> </w:t>
            </w:r>
            <w:r>
              <w:rPr>
                <w:rStyle w:val="Firstpagetablebold"/>
              </w:rPr>
              <w:t xml:space="preserve">That the </w:t>
            </w:r>
            <w:r w:rsidR="00966F41">
              <w:rPr>
                <w:rStyle w:val="Firstpagetablebold"/>
              </w:rPr>
              <w:t>Cabinet</w:t>
            </w:r>
            <w:r w:rsidR="00A85B0E">
              <w:rPr>
                <w:rStyle w:val="Firstpagetablebold"/>
              </w:rPr>
              <w:t xml:space="preserve"> resolves to</w:t>
            </w:r>
            <w:r>
              <w:rPr>
                <w:rStyle w:val="Firstpagetablebold"/>
              </w:rPr>
              <w:t>:</w:t>
            </w:r>
          </w:p>
        </w:tc>
      </w:tr>
      <w:tr w:rsidR="0030208D" w:rsidRPr="00975B07" w:rsidTr="00D77751">
        <w:trPr>
          <w:trHeight w:val="714"/>
        </w:trPr>
        <w:tc>
          <w:tcPr>
            <w:tcW w:w="1389" w:type="dxa"/>
            <w:tcBorders>
              <w:top w:val="single" w:sz="8" w:space="0" w:color="000000"/>
              <w:left w:val="single" w:sz="8" w:space="0" w:color="000000"/>
              <w:bottom w:val="nil"/>
              <w:right w:val="nil"/>
            </w:tcBorders>
          </w:tcPr>
          <w:p w:rsidR="00A85B0E" w:rsidRPr="00B161AA" w:rsidRDefault="00A85B0E" w:rsidP="00DC1F43">
            <w:pPr>
              <w:numPr>
                <w:ilvl w:val="0"/>
                <w:numId w:val="11"/>
              </w:numPr>
              <w:spacing w:before="120" w:after="0"/>
              <w:ind w:left="318" w:firstLine="0"/>
              <w:rPr>
                <w:color w:val="auto"/>
              </w:rPr>
            </w:pPr>
          </w:p>
          <w:p w:rsidR="006F4D93" w:rsidRPr="00B161AA" w:rsidRDefault="006F4D93" w:rsidP="007E64F0">
            <w:pPr>
              <w:spacing w:before="120" w:after="0"/>
              <w:ind w:left="318"/>
              <w:rPr>
                <w:color w:val="auto"/>
              </w:rPr>
            </w:pPr>
          </w:p>
          <w:p w:rsidR="00965E39" w:rsidRPr="00B161AA" w:rsidRDefault="00965E39" w:rsidP="00BD3A56">
            <w:pPr>
              <w:spacing w:before="120" w:after="0"/>
              <w:ind w:left="318"/>
              <w:rPr>
                <w:color w:val="auto"/>
              </w:rPr>
            </w:pPr>
          </w:p>
          <w:p w:rsidR="00121043" w:rsidRPr="00B161AA" w:rsidRDefault="000202F2" w:rsidP="00BD3A56">
            <w:pPr>
              <w:spacing w:before="120" w:after="0"/>
              <w:ind w:left="318"/>
              <w:rPr>
                <w:color w:val="auto"/>
              </w:rPr>
            </w:pPr>
            <w:r w:rsidRPr="00B161AA">
              <w:rPr>
                <w:color w:val="auto"/>
              </w:rPr>
              <w:t>2.</w:t>
            </w:r>
          </w:p>
          <w:p w:rsidR="00965E39" w:rsidRPr="00B161AA" w:rsidRDefault="00965E39" w:rsidP="00BD3A56">
            <w:pPr>
              <w:spacing w:before="120" w:after="0"/>
              <w:ind w:left="318"/>
              <w:rPr>
                <w:color w:val="auto"/>
              </w:rPr>
            </w:pPr>
          </w:p>
          <w:p w:rsidR="00965E39" w:rsidRPr="00B161AA" w:rsidRDefault="00965E39" w:rsidP="00BD3A56">
            <w:pPr>
              <w:spacing w:before="120" w:after="0"/>
              <w:ind w:left="318"/>
              <w:rPr>
                <w:color w:val="auto"/>
              </w:rPr>
            </w:pPr>
            <w:r w:rsidRPr="00B161AA">
              <w:rPr>
                <w:color w:val="auto"/>
              </w:rPr>
              <w:t>3.</w:t>
            </w:r>
          </w:p>
          <w:p w:rsidR="00965E39" w:rsidRPr="00B161AA" w:rsidRDefault="00965E39" w:rsidP="00BD3A56">
            <w:pPr>
              <w:spacing w:before="120" w:after="0"/>
              <w:ind w:left="318"/>
              <w:rPr>
                <w:color w:val="auto"/>
              </w:rPr>
            </w:pPr>
          </w:p>
          <w:p w:rsidR="00965E39" w:rsidRPr="00B161AA" w:rsidRDefault="00965E39" w:rsidP="00BD3A56">
            <w:pPr>
              <w:spacing w:before="120" w:after="0"/>
              <w:ind w:left="318"/>
              <w:rPr>
                <w:color w:val="auto"/>
              </w:rPr>
            </w:pPr>
            <w:r w:rsidRPr="00B161AA">
              <w:rPr>
                <w:color w:val="auto"/>
              </w:rPr>
              <w:t>4.</w:t>
            </w:r>
          </w:p>
          <w:p w:rsidR="00965E39" w:rsidRPr="00B161AA" w:rsidRDefault="00965E39" w:rsidP="00BD3A56">
            <w:pPr>
              <w:spacing w:before="120" w:after="0"/>
              <w:ind w:left="318"/>
              <w:rPr>
                <w:color w:val="auto"/>
              </w:rPr>
            </w:pPr>
          </w:p>
          <w:p w:rsidR="00965E39" w:rsidRPr="00B161AA" w:rsidRDefault="00660B15" w:rsidP="00965E39">
            <w:pPr>
              <w:spacing w:before="120" w:after="0"/>
              <w:ind w:left="318"/>
              <w:rPr>
                <w:color w:val="auto"/>
              </w:rPr>
            </w:pPr>
            <w:r w:rsidRPr="00B161AA">
              <w:rPr>
                <w:color w:val="auto"/>
              </w:rPr>
              <w:t>5</w:t>
            </w:r>
          </w:p>
          <w:p w:rsidR="004F58D3" w:rsidRPr="00B161AA" w:rsidRDefault="004F58D3" w:rsidP="00965E39">
            <w:pPr>
              <w:spacing w:before="120" w:after="0"/>
              <w:ind w:left="318"/>
              <w:rPr>
                <w:color w:val="auto"/>
              </w:rPr>
            </w:pPr>
          </w:p>
          <w:p w:rsidR="004F58D3" w:rsidRPr="00B161AA" w:rsidRDefault="004F58D3" w:rsidP="00965E39">
            <w:pPr>
              <w:spacing w:before="120" w:after="0"/>
              <w:ind w:left="318"/>
              <w:rPr>
                <w:color w:val="auto"/>
              </w:rPr>
            </w:pPr>
            <w:r w:rsidRPr="00B161AA">
              <w:rPr>
                <w:color w:val="auto"/>
              </w:rPr>
              <w:t>6</w:t>
            </w:r>
          </w:p>
        </w:tc>
        <w:tc>
          <w:tcPr>
            <w:tcW w:w="7909" w:type="dxa"/>
            <w:gridSpan w:val="2"/>
            <w:tcBorders>
              <w:top w:val="single" w:sz="8" w:space="0" w:color="000000"/>
              <w:left w:val="nil"/>
              <w:bottom w:val="nil"/>
              <w:right w:val="single" w:sz="8" w:space="0" w:color="000000"/>
            </w:tcBorders>
            <w:shd w:val="clear" w:color="auto" w:fill="auto"/>
          </w:tcPr>
          <w:p w:rsidR="00DD512B" w:rsidRPr="00B161AA" w:rsidRDefault="00A85B0E" w:rsidP="00BD3A56">
            <w:pPr>
              <w:spacing w:after="0"/>
              <w:rPr>
                <w:rStyle w:val="Firstpagetablebold"/>
                <w:b w:val="0"/>
                <w:color w:val="auto"/>
              </w:rPr>
            </w:pPr>
            <w:r w:rsidRPr="00B161AA">
              <w:rPr>
                <w:rStyle w:val="Firstpagetablebold"/>
                <w:b w:val="0"/>
                <w:color w:val="auto"/>
              </w:rPr>
              <w:t xml:space="preserve">Note the </w:t>
            </w:r>
            <w:r w:rsidR="00965E39" w:rsidRPr="00B161AA">
              <w:rPr>
                <w:rStyle w:val="Firstpagetablebold"/>
                <w:b w:val="0"/>
                <w:color w:val="auto"/>
              </w:rPr>
              <w:t>financial outturn and performance of the Council for the year 201</w:t>
            </w:r>
            <w:r w:rsidR="00C66A11" w:rsidRPr="00B161AA">
              <w:rPr>
                <w:rStyle w:val="Firstpagetablebold"/>
                <w:b w:val="0"/>
                <w:color w:val="auto"/>
              </w:rPr>
              <w:t>8</w:t>
            </w:r>
            <w:r w:rsidR="00965E39" w:rsidRPr="00B161AA">
              <w:rPr>
                <w:rStyle w:val="Firstpagetablebold"/>
                <w:b w:val="0"/>
                <w:color w:val="auto"/>
              </w:rPr>
              <w:t>/1</w:t>
            </w:r>
            <w:r w:rsidR="00C66A11" w:rsidRPr="00B161AA">
              <w:rPr>
                <w:rStyle w:val="Firstpagetablebold"/>
                <w:b w:val="0"/>
                <w:color w:val="auto"/>
              </w:rPr>
              <w:t>9</w:t>
            </w:r>
            <w:r w:rsidR="00965E39" w:rsidRPr="00B161AA">
              <w:rPr>
                <w:rStyle w:val="Firstpagetablebold"/>
                <w:b w:val="0"/>
                <w:color w:val="auto"/>
              </w:rPr>
              <w:t xml:space="preserve"> and also the position on risks outstanding as at 31</w:t>
            </w:r>
            <w:r w:rsidR="00965E39" w:rsidRPr="00B161AA">
              <w:rPr>
                <w:rStyle w:val="Firstpagetablebold"/>
                <w:b w:val="0"/>
                <w:color w:val="auto"/>
                <w:vertAlign w:val="superscript"/>
              </w:rPr>
              <w:t>st</w:t>
            </w:r>
            <w:r w:rsidR="00965E39" w:rsidRPr="00B161AA">
              <w:rPr>
                <w:rStyle w:val="Firstpagetablebold"/>
                <w:b w:val="0"/>
                <w:color w:val="auto"/>
              </w:rPr>
              <w:t xml:space="preserve"> March 201</w:t>
            </w:r>
            <w:r w:rsidR="00C66A11" w:rsidRPr="00B161AA">
              <w:rPr>
                <w:rStyle w:val="Firstpagetablebold"/>
                <w:b w:val="0"/>
                <w:color w:val="auto"/>
              </w:rPr>
              <w:t>9</w:t>
            </w:r>
            <w:r w:rsidR="00965E39" w:rsidRPr="00B161AA">
              <w:rPr>
                <w:rStyle w:val="Firstpagetablebold"/>
                <w:b w:val="0"/>
                <w:color w:val="auto"/>
              </w:rPr>
              <w:t>;</w:t>
            </w:r>
          </w:p>
          <w:p w:rsidR="000202F2" w:rsidRPr="00B161AA" w:rsidRDefault="000202F2" w:rsidP="00BD3A56">
            <w:pPr>
              <w:spacing w:after="0"/>
              <w:rPr>
                <w:rStyle w:val="Firstpagetablebold"/>
                <w:b w:val="0"/>
                <w:color w:val="auto"/>
              </w:rPr>
            </w:pPr>
          </w:p>
          <w:p w:rsidR="000202F2" w:rsidRPr="00B161AA" w:rsidRDefault="00965E39" w:rsidP="00965E39">
            <w:pPr>
              <w:spacing w:after="0"/>
              <w:rPr>
                <w:rStyle w:val="Firstpagetablebold"/>
                <w:b w:val="0"/>
                <w:color w:val="auto"/>
              </w:rPr>
            </w:pPr>
            <w:r w:rsidRPr="00B161AA">
              <w:rPr>
                <w:rStyle w:val="Firstpagetablebold"/>
                <w:b w:val="0"/>
                <w:color w:val="auto"/>
              </w:rPr>
              <w:t xml:space="preserve">Agree the carry forward requests </w:t>
            </w:r>
            <w:r w:rsidR="00660B15" w:rsidRPr="00B161AA">
              <w:rPr>
                <w:rStyle w:val="Firstpagetablebold"/>
                <w:b w:val="0"/>
                <w:color w:val="auto"/>
              </w:rPr>
              <w:t xml:space="preserve">in respect of the General Fund </w:t>
            </w:r>
            <w:r w:rsidR="00AF0443" w:rsidRPr="00B161AA">
              <w:rPr>
                <w:rStyle w:val="Firstpagetablebold"/>
                <w:b w:val="0"/>
                <w:color w:val="auto"/>
              </w:rPr>
              <w:t>as shown</w:t>
            </w:r>
            <w:r w:rsidR="00660A77" w:rsidRPr="00B161AA">
              <w:rPr>
                <w:rStyle w:val="Firstpagetablebold"/>
                <w:b w:val="0"/>
                <w:color w:val="auto"/>
              </w:rPr>
              <w:t xml:space="preserve"> in paragraph 6 and</w:t>
            </w:r>
            <w:r w:rsidR="00AF0443" w:rsidRPr="00B161AA">
              <w:rPr>
                <w:rStyle w:val="Firstpagetablebold"/>
                <w:b w:val="0"/>
                <w:color w:val="auto"/>
              </w:rPr>
              <w:t xml:space="preserve"> on </w:t>
            </w:r>
            <w:r w:rsidRPr="00B161AA">
              <w:rPr>
                <w:rStyle w:val="Firstpagetablebold"/>
                <w:b w:val="0"/>
                <w:color w:val="auto"/>
              </w:rPr>
              <w:t xml:space="preserve">Appendix </w:t>
            </w:r>
            <w:r w:rsidR="00E835AB" w:rsidRPr="00B161AA">
              <w:rPr>
                <w:rStyle w:val="Firstpagetablebold"/>
                <w:b w:val="0"/>
                <w:color w:val="auto"/>
              </w:rPr>
              <w:t>D</w:t>
            </w:r>
            <w:r w:rsidRPr="00B161AA">
              <w:rPr>
                <w:rStyle w:val="Firstpagetablebold"/>
                <w:b w:val="0"/>
                <w:color w:val="auto"/>
              </w:rPr>
              <w:t>;</w:t>
            </w:r>
          </w:p>
          <w:p w:rsidR="00965E39" w:rsidRPr="00B161AA" w:rsidRDefault="00965E39" w:rsidP="00965E39">
            <w:pPr>
              <w:spacing w:after="0"/>
              <w:rPr>
                <w:rStyle w:val="Firstpagetablebold"/>
                <w:b w:val="0"/>
                <w:color w:val="auto"/>
              </w:rPr>
            </w:pPr>
          </w:p>
          <w:p w:rsidR="00965E39" w:rsidRPr="00B161AA" w:rsidRDefault="00965E39" w:rsidP="00965E39">
            <w:pPr>
              <w:spacing w:after="0"/>
              <w:rPr>
                <w:rStyle w:val="Firstpagetablebold"/>
                <w:b w:val="0"/>
                <w:color w:val="auto"/>
              </w:rPr>
            </w:pPr>
            <w:r w:rsidRPr="00B161AA">
              <w:rPr>
                <w:rStyle w:val="Firstpagetablebold"/>
                <w:b w:val="0"/>
                <w:color w:val="auto"/>
              </w:rPr>
              <w:t xml:space="preserve">Agree the </w:t>
            </w:r>
            <w:r w:rsidR="00BF25C3" w:rsidRPr="00B161AA">
              <w:rPr>
                <w:rStyle w:val="Firstpagetablebold"/>
                <w:b w:val="0"/>
                <w:color w:val="auto"/>
              </w:rPr>
              <w:t xml:space="preserve">additional </w:t>
            </w:r>
            <w:r w:rsidRPr="00B161AA">
              <w:rPr>
                <w:rStyle w:val="Firstpagetablebold"/>
                <w:b w:val="0"/>
                <w:color w:val="auto"/>
              </w:rPr>
              <w:t xml:space="preserve">transfer to </w:t>
            </w:r>
            <w:r w:rsidR="00AE4091" w:rsidRPr="00B161AA">
              <w:rPr>
                <w:rStyle w:val="Firstpagetablebold"/>
                <w:b w:val="0"/>
                <w:color w:val="auto"/>
              </w:rPr>
              <w:t xml:space="preserve">the </w:t>
            </w:r>
            <w:r w:rsidRPr="00B161AA">
              <w:rPr>
                <w:rStyle w:val="Firstpagetablebold"/>
                <w:b w:val="0"/>
                <w:color w:val="auto"/>
              </w:rPr>
              <w:t xml:space="preserve">General Fund </w:t>
            </w:r>
            <w:r w:rsidR="00A45DDB" w:rsidRPr="00B161AA">
              <w:rPr>
                <w:rStyle w:val="Firstpagetablebold"/>
                <w:b w:val="0"/>
                <w:color w:val="auto"/>
              </w:rPr>
              <w:t>Repairs and Maintenance</w:t>
            </w:r>
            <w:r w:rsidR="00660B15" w:rsidRPr="00B161AA">
              <w:rPr>
                <w:rStyle w:val="Firstpagetablebold"/>
                <w:b w:val="0"/>
                <w:color w:val="auto"/>
              </w:rPr>
              <w:t xml:space="preserve"> </w:t>
            </w:r>
            <w:r w:rsidR="00E40753" w:rsidRPr="00B161AA">
              <w:rPr>
                <w:rStyle w:val="Firstpagetablebold"/>
                <w:b w:val="0"/>
                <w:color w:val="auto"/>
              </w:rPr>
              <w:t>Reserve</w:t>
            </w:r>
            <w:r w:rsidRPr="00B161AA">
              <w:rPr>
                <w:rStyle w:val="Firstpagetablebold"/>
                <w:b w:val="0"/>
                <w:color w:val="auto"/>
              </w:rPr>
              <w:t xml:space="preserve"> </w:t>
            </w:r>
            <w:r w:rsidR="00F07707" w:rsidRPr="00B161AA">
              <w:rPr>
                <w:rStyle w:val="Firstpagetablebold"/>
                <w:b w:val="0"/>
                <w:color w:val="auto"/>
              </w:rPr>
              <w:t>of £</w:t>
            </w:r>
            <w:r w:rsidR="003C27C4" w:rsidRPr="00B161AA">
              <w:rPr>
                <w:rStyle w:val="Firstpagetablebold"/>
                <w:b w:val="0"/>
                <w:color w:val="auto"/>
              </w:rPr>
              <w:t>0.</w:t>
            </w:r>
            <w:r w:rsidR="00F07707" w:rsidRPr="00B161AA">
              <w:rPr>
                <w:rStyle w:val="Firstpagetablebold"/>
                <w:b w:val="0"/>
                <w:color w:val="auto"/>
              </w:rPr>
              <w:t>610</w:t>
            </w:r>
            <w:r w:rsidR="003C27C4" w:rsidRPr="00B161AA">
              <w:rPr>
                <w:rStyle w:val="Firstpagetablebold"/>
                <w:b w:val="0"/>
                <w:color w:val="auto"/>
              </w:rPr>
              <w:t xml:space="preserve"> million</w:t>
            </w:r>
            <w:r w:rsidR="00660B15" w:rsidRPr="00B161AA">
              <w:rPr>
                <w:rStyle w:val="Firstpagetablebold"/>
                <w:b w:val="0"/>
                <w:color w:val="auto"/>
              </w:rPr>
              <w:t xml:space="preserve"> </w:t>
            </w:r>
            <w:r w:rsidRPr="00B161AA">
              <w:rPr>
                <w:rStyle w:val="Firstpagetablebold"/>
                <w:b w:val="0"/>
                <w:color w:val="auto"/>
              </w:rPr>
              <w:t>detail</w:t>
            </w:r>
            <w:r w:rsidR="00E00881" w:rsidRPr="00B161AA">
              <w:rPr>
                <w:rStyle w:val="Firstpagetablebold"/>
                <w:b w:val="0"/>
                <w:color w:val="auto"/>
              </w:rPr>
              <w:t xml:space="preserve">ed </w:t>
            </w:r>
            <w:r w:rsidRPr="00B161AA">
              <w:rPr>
                <w:rStyle w:val="Firstpagetablebold"/>
                <w:b w:val="0"/>
                <w:color w:val="auto"/>
              </w:rPr>
              <w:t xml:space="preserve">in paragraph </w:t>
            </w:r>
            <w:r w:rsidR="00660B15" w:rsidRPr="00B161AA">
              <w:rPr>
                <w:rStyle w:val="Firstpagetablebold"/>
                <w:b w:val="0"/>
                <w:color w:val="auto"/>
              </w:rPr>
              <w:t>2 a</w:t>
            </w:r>
            <w:r w:rsidRPr="00B161AA">
              <w:rPr>
                <w:rStyle w:val="Firstpagetablebold"/>
                <w:b w:val="0"/>
                <w:color w:val="auto"/>
              </w:rPr>
              <w:t>;</w:t>
            </w:r>
            <w:r w:rsidR="00E00881" w:rsidRPr="00B161AA">
              <w:rPr>
                <w:rStyle w:val="Firstpagetablebold"/>
                <w:b w:val="0"/>
                <w:color w:val="auto"/>
              </w:rPr>
              <w:t xml:space="preserve"> </w:t>
            </w:r>
          </w:p>
          <w:p w:rsidR="00965E39" w:rsidRPr="00B161AA" w:rsidRDefault="00965E39" w:rsidP="00965E39">
            <w:pPr>
              <w:spacing w:after="0"/>
              <w:rPr>
                <w:rStyle w:val="Firstpagetablebold"/>
                <w:b w:val="0"/>
                <w:color w:val="auto"/>
              </w:rPr>
            </w:pPr>
          </w:p>
          <w:p w:rsidR="004F58D3" w:rsidRPr="00B161AA" w:rsidRDefault="00965E39" w:rsidP="00965E39">
            <w:pPr>
              <w:spacing w:after="0"/>
              <w:rPr>
                <w:rStyle w:val="Firstpagetablebold"/>
                <w:b w:val="0"/>
                <w:color w:val="auto"/>
              </w:rPr>
            </w:pPr>
            <w:r w:rsidRPr="00B161AA">
              <w:rPr>
                <w:rStyle w:val="Firstpagetablebold"/>
                <w:b w:val="0"/>
                <w:color w:val="auto"/>
              </w:rPr>
              <w:t xml:space="preserve">Agree the </w:t>
            </w:r>
            <w:r w:rsidR="00660B15" w:rsidRPr="00B161AA">
              <w:rPr>
                <w:rStyle w:val="Firstpagetablebold"/>
                <w:b w:val="0"/>
                <w:color w:val="auto"/>
              </w:rPr>
              <w:t xml:space="preserve">carry forward requests in respect of the HRA as </w:t>
            </w:r>
            <w:r w:rsidR="003C27C4" w:rsidRPr="00B161AA">
              <w:rPr>
                <w:rStyle w:val="Firstpagetablebold"/>
                <w:b w:val="0"/>
                <w:color w:val="auto"/>
              </w:rPr>
              <w:t>shown in paragraph 14 and on</w:t>
            </w:r>
            <w:r w:rsidR="00660B15" w:rsidRPr="00B161AA">
              <w:rPr>
                <w:rStyle w:val="Firstpagetablebold"/>
                <w:b w:val="0"/>
                <w:color w:val="auto"/>
              </w:rPr>
              <w:t xml:space="preserve"> Appendix D</w:t>
            </w:r>
            <w:r w:rsidR="003E74D0" w:rsidRPr="00B161AA">
              <w:rPr>
                <w:rStyle w:val="Firstpagetablebold"/>
                <w:b w:val="0"/>
                <w:color w:val="auto"/>
              </w:rPr>
              <w:t>.</w:t>
            </w:r>
            <w:r w:rsidR="00660B15" w:rsidRPr="00B161AA">
              <w:rPr>
                <w:rStyle w:val="Firstpagetablebold"/>
                <w:b w:val="0"/>
                <w:color w:val="auto"/>
              </w:rPr>
              <w:t xml:space="preserve"> </w:t>
            </w:r>
          </w:p>
          <w:p w:rsidR="00660B15" w:rsidRPr="00B161AA" w:rsidRDefault="00660B15" w:rsidP="00660B15">
            <w:pPr>
              <w:spacing w:after="0"/>
              <w:ind w:hanging="1071"/>
              <w:rPr>
                <w:rStyle w:val="Firstpagetablebold"/>
                <w:b w:val="0"/>
                <w:color w:val="auto"/>
              </w:rPr>
            </w:pPr>
            <w:r w:rsidRPr="00B161AA">
              <w:rPr>
                <w:rStyle w:val="Firstpagetablebold"/>
                <w:b w:val="0"/>
                <w:color w:val="auto"/>
              </w:rPr>
              <w:t>5</w:t>
            </w:r>
          </w:p>
          <w:p w:rsidR="00660B15" w:rsidRPr="00B161AA" w:rsidRDefault="00660B15" w:rsidP="00965E39">
            <w:pPr>
              <w:spacing w:after="0"/>
              <w:rPr>
                <w:rStyle w:val="Firstpagetablebold"/>
                <w:b w:val="0"/>
                <w:color w:val="auto"/>
              </w:rPr>
            </w:pPr>
            <w:r w:rsidRPr="00B161AA">
              <w:rPr>
                <w:rStyle w:val="Firstpagetablebold"/>
                <w:b w:val="0"/>
                <w:color w:val="auto"/>
              </w:rPr>
              <w:t xml:space="preserve">Agree the </w:t>
            </w:r>
            <w:r w:rsidR="00BF25C3" w:rsidRPr="00B161AA">
              <w:rPr>
                <w:rStyle w:val="Firstpagetablebold"/>
                <w:b w:val="0"/>
                <w:color w:val="auto"/>
              </w:rPr>
              <w:t xml:space="preserve">additional </w:t>
            </w:r>
            <w:r w:rsidRPr="00B161AA">
              <w:rPr>
                <w:rStyle w:val="Firstpagetablebold"/>
                <w:b w:val="0"/>
                <w:color w:val="auto"/>
              </w:rPr>
              <w:t xml:space="preserve">transfer to the HRA </w:t>
            </w:r>
            <w:r w:rsidR="00EE1B3E" w:rsidRPr="00B161AA">
              <w:rPr>
                <w:rStyle w:val="Firstpagetablebold"/>
                <w:b w:val="0"/>
                <w:color w:val="auto"/>
              </w:rPr>
              <w:t xml:space="preserve">Contributions to HRA Projects </w:t>
            </w:r>
            <w:r w:rsidRPr="00B161AA">
              <w:rPr>
                <w:rStyle w:val="Firstpagetablebold"/>
                <w:b w:val="0"/>
                <w:color w:val="auto"/>
              </w:rPr>
              <w:t>Reserve of £</w:t>
            </w:r>
            <w:r w:rsidR="00966F41" w:rsidRPr="00B161AA">
              <w:rPr>
                <w:rStyle w:val="Firstpagetablebold"/>
                <w:b w:val="0"/>
                <w:color w:val="auto"/>
              </w:rPr>
              <w:t>3.716</w:t>
            </w:r>
            <w:r w:rsidRPr="00B161AA">
              <w:rPr>
                <w:rStyle w:val="Firstpagetablebold"/>
                <w:b w:val="0"/>
                <w:color w:val="auto"/>
              </w:rPr>
              <w:t xml:space="preserve"> million detailed in paragraph 2(c)</w:t>
            </w:r>
            <w:r w:rsidR="003B2CB3">
              <w:rPr>
                <w:rStyle w:val="Firstpagetablebold"/>
                <w:b w:val="0"/>
                <w:color w:val="auto"/>
              </w:rPr>
              <w:t>.</w:t>
            </w:r>
          </w:p>
          <w:p w:rsidR="004F58D3" w:rsidRPr="00B161AA" w:rsidRDefault="004F58D3" w:rsidP="00965E39">
            <w:pPr>
              <w:spacing w:after="0"/>
              <w:rPr>
                <w:rStyle w:val="Firstpagetablebold"/>
                <w:b w:val="0"/>
                <w:color w:val="auto"/>
              </w:rPr>
            </w:pPr>
          </w:p>
          <w:p w:rsidR="00965E39" w:rsidRPr="00B161AA" w:rsidRDefault="000C04A5" w:rsidP="000C04A5">
            <w:pPr>
              <w:spacing w:after="0"/>
              <w:rPr>
                <w:color w:val="auto"/>
              </w:rPr>
            </w:pPr>
            <w:r>
              <w:rPr>
                <w:rFonts w:cs="Arial"/>
                <w:color w:val="auto"/>
              </w:rPr>
              <w:t>R</w:t>
            </w:r>
            <w:r w:rsidR="004F58D3" w:rsidRPr="00B161AA">
              <w:rPr>
                <w:rFonts w:cs="Arial"/>
                <w:color w:val="auto"/>
              </w:rPr>
              <w:t>ecommend to Council the inclusion of £200k in 2019-20 in respect of costs to establish a citizens</w:t>
            </w:r>
            <w:r>
              <w:rPr>
                <w:rFonts w:cs="Arial"/>
                <w:color w:val="auto"/>
              </w:rPr>
              <w:t>’</w:t>
            </w:r>
            <w:r w:rsidR="004F58D3" w:rsidRPr="00B161AA">
              <w:rPr>
                <w:rFonts w:cs="Arial"/>
                <w:color w:val="auto"/>
              </w:rPr>
              <w:t xml:space="preserve"> assembly together with associated staffing costs for reporting and research</w:t>
            </w:r>
            <w:r w:rsidR="003B2CB3">
              <w:rPr>
                <w:rFonts w:cs="Arial"/>
                <w:color w:val="auto"/>
              </w:rPr>
              <w:t>.</w:t>
            </w:r>
            <w:r w:rsidR="004F58D3" w:rsidRPr="00B161AA">
              <w:rPr>
                <w:rFonts w:cs="Arial"/>
                <w:color w:val="auto"/>
              </w:rPr>
              <w:t xml:space="preserve"> </w:t>
            </w:r>
          </w:p>
        </w:tc>
      </w:tr>
      <w:tr w:rsidR="00232F5B" w:rsidRPr="00975B07" w:rsidTr="000C04A5">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6B6ED9" w:rsidRDefault="00FD4134" w:rsidP="007333C3">
            <w:r>
              <w:t>Appendix D</w:t>
            </w:r>
          </w:p>
          <w:p w:rsidR="00953A87" w:rsidRDefault="00953A87" w:rsidP="007333C3">
            <w:r>
              <w:t>Appendix E</w:t>
            </w:r>
          </w:p>
          <w:p w:rsidR="00953A87" w:rsidRDefault="00953A87" w:rsidP="007333C3">
            <w:r>
              <w:t>Appendix F</w:t>
            </w:r>
          </w:p>
          <w:p w:rsidR="007333C3" w:rsidRPr="00975B07" w:rsidRDefault="007333C3" w:rsidP="00D8272F"/>
        </w:tc>
        <w:tc>
          <w:tcPr>
            <w:tcW w:w="6918" w:type="dxa"/>
            <w:tcBorders>
              <w:top w:val="nil"/>
              <w:left w:val="nil"/>
              <w:bottom w:val="single" w:sz="8" w:space="0" w:color="000000"/>
              <w:right w:val="single" w:sz="8" w:space="0" w:color="000000"/>
            </w:tcBorders>
          </w:tcPr>
          <w:p w:rsidR="00A91B9B" w:rsidRDefault="00965E39" w:rsidP="00A91B9B">
            <w:r>
              <w:t>General Fund Outturn</w:t>
            </w:r>
          </w:p>
          <w:p w:rsidR="00A91B9B" w:rsidRDefault="00965E39" w:rsidP="00A91B9B">
            <w:r>
              <w:t>Capital Programme</w:t>
            </w:r>
            <w:r w:rsidR="00A91B9B">
              <w:t xml:space="preserve"> Outturn</w:t>
            </w:r>
          </w:p>
          <w:p w:rsidR="00A91B9B" w:rsidRDefault="00965E39" w:rsidP="00A91B9B">
            <w:r>
              <w:t>HRA</w:t>
            </w:r>
            <w:r w:rsidR="00A91B9B">
              <w:t xml:space="preserve"> Outturn</w:t>
            </w:r>
          </w:p>
          <w:p w:rsidR="00304AD6" w:rsidRDefault="00965E39" w:rsidP="004D73C5">
            <w:pPr>
              <w:tabs>
                <w:tab w:val="left" w:pos="2160"/>
              </w:tabs>
            </w:pPr>
            <w:r>
              <w:t xml:space="preserve">Carry Forward </w:t>
            </w:r>
            <w:r w:rsidR="00953A87">
              <w:t xml:space="preserve">Requests </w:t>
            </w:r>
          </w:p>
          <w:p w:rsidR="00953A87" w:rsidRDefault="00953A87" w:rsidP="004D73C5">
            <w:pPr>
              <w:tabs>
                <w:tab w:val="left" w:pos="2160"/>
              </w:tabs>
            </w:pPr>
            <w:r>
              <w:t>Corporate Risks</w:t>
            </w:r>
          </w:p>
          <w:p w:rsidR="00953A87" w:rsidRPr="00964187" w:rsidRDefault="001E373D" w:rsidP="008159AF">
            <w:pPr>
              <w:tabs>
                <w:tab w:val="left" w:pos="2160"/>
              </w:tabs>
            </w:pPr>
            <w:r>
              <w:t>Corporate Performance Outturn</w:t>
            </w:r>
          </w:p>
        </w:tc>
      </w:tr>
    </w:tbl>
    <w:p w:rsidR="00BD3A56" w:rsidRDefault="00BD3A56" w:rsidP="004A6D2F">
      <w:pPr>
        <w:pStyle w:val="Heading1"/>
        <w:rPr>
          <w:color w:val="auto"/>
        </w:rPr>
      </w:pPr>
    </w:p>
    <w:p w:rsidR="0040736F" w:rsidRPr="00FA33B1" w:rsidRDefault="00121043" w:rsidP="004A6D2F">
      <w:pPr>
        <w:pStyle w:val="Heading1"/>
        <w:rPr>
          <w:color w:val="auto"/>
        </w:rPr>
      </w:pPr>
      <w:r w:rsidRPr="00FA33B1">
        <w:rPr>
          <w:color w:val="auto"/>
        </w:rPr>
        <w:t>I</w:t>
      </w:r>
      <w:r w:rsidR="00F66DCA" w:rsidRPr="00FA33B1">
        <w:rPr>
          <w:color w:val="auto"/>
        </w:rPr>
        <w:t>ntroduction and b</w:t>
      </w:r>
      <w:r w:rsidR="00151888" w:rsidRPr="00FA33B1">
        <w:rPr>
          <w:color w:val="auto"/>
        </w:rPr>
        <w:t>ackground</w:t>
      </w:r>
      <w:r w:rsidR="00404032" w:rsidRPr="00FA33B1">
        <w:rPr>
          <w:color w:val="auto"/>
        </w:rPr>
        <w:t xml:space="preserve"> </w:t>
      </w:r>
    </w:p>
    <w:p w:rsidR="00FB70AC" w:rsidRPr="00FA33B1" w:rsidRDefault="00FB70AC" w:rsidP="00FB70AC">
      <w:pPr>
        <w:pStyle w:val="ListParagraph"/>
        <w:rPr>
          <w:color w:val="auto"/>
        </w:rPr>
      </w:pPr>
      <w:r w:rsidRPr="00FA33B1">
        <w:rPr>
          <w:color w:val="auto"/>
        </w:rPr>
        <w:t xml:space="preserve">This report </w:t>
      </w:r>
      <w:r w:rsidR="007333C3" w:rsidRPr="00FA33B1">
        <w:rPr>
          <w:color w:val="auto"/>
        </w:rPr>
        <w:t xml:space="preserve">updates the </w:t>
      </w:r>
      <w:r w:rsidR="004A631A">
        <w:rPr>
          <w:color w:val="auto"/>
        </w:rPr>
        <w:t>Cabinet</w:t>
      </w:r>
      <w:r w:rsidR="007333C3" w:rsidRPr="00FA33B1">
        <w:rPr>
          <w:color w:val="auto"/>
        </w:rPr>
        <w:t xml:space="preserve"> on </w:t>
      </w:r>
      <w:r w:rsidR="00B732B4" w:rsidRPr="00FA33B1">
        <w:rPr>
          <w:color w:val="auto"/>
        </w:rPr>
        <w:t xml:space="preserve">the </w:t>
      </w:r>
      <w:r w:rsidR="00953A87" w:rsidRPr="00FA33B1">
        <w:rPr>
          <w:color w:val="auto"/>
        </w:rPr>
        <w:t>per</w:t>
      </w:r>
      <w:r w:rsidR="00D8272F" w:rsidRPr="00FA33B1">
        <w:rPr>
          <w:color w:val="auto"/>
        </w:rPr>
        <w:t>formance of the Council for 201</w:t>
      </w:r>
      <w:r w:rsidR="00147810" w:rsidRPr="00FA33B1">
        <w:rPr>
          <w:color w:val="auto"/>
        </w:rPr>
        <w:t>8</w:t>
      </w:r>
      <w:r w:rsidR="00D8272F" w:rsidRPr="00FA33B1">
        <w:rPr>
          <w:color w:val="auto"/>
        </w:rPr>
        <w:t>/1</w:t>
      </w:r>
      <w:r w:rsidR="00147810" w:rsidRPr="00FA33B1">
        <w:rPr>
          <w:color w:val="auto"/>
        </w:rPr>
        <w:t>9</w:t>
      </w:r>
      <w:r w:rsidR="00953A87" w:rsidRPr="00FA33B1">
        <w:rPr>
          <w:color w:val="auto"/>
        </w:rPr>
        <w:t xml:space="preserve"> together with </w:t>
      </w:r>
      <w:r w:rsidR="00673910" w:rsidRPr="00FA33B1">
        <w:rPr>
          <w:color w:val="auto"/>
        </w:rPr>
        <w:t>the</w:t>
      </w:r>
      <w:r w:rsidR="00953A87" w:rsidRPr="00FA33B1">
        <w:rPr>
          <w:color w:val="auto"/>
        </w:rPr>
        <w:t xml:space="preserve"> corporate and service</w:t>
      </w:r>
      <w:r w:rsidR="00147810" w:rsidRPr="00FA33B1">
        <w:rPr>
          <w:color w:val="auto"/>
        </w:rPr>
        <w:t xml:space="preserve"> risks faced as at 31 March 2019</w:t>
      </w:r>
      <w:r w:rsidR="00953A87" w:rsidRPr="00FA33B1">
        <w:rPr>
          <w:color w:val="auto"/>
        </w:rPr>
        <w:t>.  A brief summary is as follows</w:t>
      </w:r>
      <w:r w:rsidRPr="00FA33B1">
        <w:rPr>
          <w:color w:val="auto"/>
        </w:rPr>
        <w:t>:</w:t>
      </w:r>
    </w:p>
    <w:p w:rsidR="00FB70AC" w:rsidRPr="008A339B" w:rsidRDefault="002A15EC" w:rsidP="00FB70AC">
      <w:pPr>
        <w:pStyle w:val="ListParagraph"/>
        <w:rPr>
          <w:color w:val="auto"/>
        </w:rPr>
      </w:pPr>
      <w:r w:rsidRPr="008A339B">
        <w:rPr>
          <w:b/>
          <w:color w:val="auto"/>
        </w:rPr>
        <w:t>Financial</w:t>
      </w:r>
      <w:r w:rsidRPr="008A339B">
        <w:rPr>
          <w:color w:val="auto"/>
        </w:rPr>
        <w:t xml:space="preserve"> </w:t>
      </w:r>
      <w:r w:rsidR="006C483B" w:rsidRPr="008A339B">
        <w:rPr>
          <w:b/>
          <w:color w:val="auto"/>
        </w:rPr>
        <w:t>Position</w:t>
      </w:r>
    </w:p>
    <w:p w:rsidR="00E44A0A" w:rsidRPr="00E44A0A" w:rsidRDefault="00C2674F" w:rsidP="00E44A0A">
      <w:pPr>
        <w:pStyle w:val="ListParagraph"/>
        <w:numPr>
          <w:ilvl w:val="1"/>
          <w:numId w:val="2"/>
        </w:numPr>
        <w:rPr>
          <w:color w:val="auto"/>
        </w:rPr>
      </w:pPr>
      <w:r w:rsidRPr="00E44A0A">
        <w:rPr>
          <w:rFonts w:cs="Arial"/>
          <w:b/>
          <w:color w:val="auto"/>
        </w:rPr>
        <w:t>General Fund</w:t>
      </w:r>
      <w:r w:rsidRPr="00E44A0A">
        <w:rPr>
          <w:rFonts w:cs="Arial"/>
          <w:color w:val="auto"/>
        </w:rPr>
        <w:t xml:space="preserve"> –</w:t>
      </w:r>
      <w:r w:rsidR="00C72FE8" w:rsidRPr="00E44A0A">
        <w:rPr>
          <w:rFonts w:cs="Arial"/>
          <w:color w:val="auto"/>
        </w:rPr>
        <w:t xml:space="preserve"> The surplus on the General Fund is £</w:t>
      </w:r>
      <w:r w:rsidR="00CF62B2" w:rsidRPr="00E44A0A">
        <w:rPr>
          <w:rFonts w:cs="Arial"/>
          <w:color w:val="auto"/>
        </w:rPr>
        <w:t>0.</w:t>
      </w:r>
      <w:r w:rsidR="00F07707" w:rsidRPr="00E44A0A">
        <w:rPr>
          <w:rFonts w:cs="Arial"/>
          <w:color w:val="auto"/>
        </w:rPr>
        <w:t>61</w:t>
      </w:r>
      <w:r w:rsidR="00E44A0A" w:rsidRPr="00E44A0A">
        <w:rPr>
          <w:rFonts w:cs="Arial"/>
          <w:color w:val="auto"/>
        </w:rPr>
        <w:t>1</w:t>
      </w:r>
      <w:r w:rsidR="00C72FE8" w:rsidRPr="00E44A0A">
        <w:rPr>
          <w:rFonts w:cs="Arial"/>
          <w:color w:val="auto"/>
        </w:rPr>
        <w:t xml:space="preserve"> million</w:t>
      </w:r>
      <w:r w:rsidR="00A45DDB" w:rsidRPr="00E44A0A">
        <w:rPr>
          <w:rFonts w:cs="Arial"/>
          <w:color w:val="auto"/>
        </w:rPr>
        <w:t xml:space="preserve"> (2.</w:t>
      </w:r>
      <w:r w:rsidR="00F07707" w:rsidRPr="00E44A0A">
        <w:rPr>
          <w:rFonts w:cs="Arial"/>
          <w:color w:val="auto"/>
        </w:rPr>
        <w:t>76</w:t>
      </w:r>
      <w:r w:rsidR="00557303" w:rsidRPr="00E44A0A">
        <w:rPr>
          <w:rFonts w:cs="Arial"/>
          <w:color w:val="auto"/>
        </w:rPr>
        <w:t>% of the Net Budget Requirement of £</w:t>
      </w:r>
      <w:r w:rsidR="008A339B" w:rsidRPr="00E44A0A">
        <w:rPr>
          <w:rFonts w:cs="Arial"/>
          <w:color w:val="auto"/>
        </w:rPr>
        <w:t>22.097</w:t>
      </w:r>
      <w:r w:rsidR="00557303" w:rsidRPr="00E44A0A">
        <w:rPr>
          <w:rFonts w:cs="Arial"/>
          <w:color w:val="auto"/>
        </w:rPr>
        <w:t xml:space="preserve"> million</w:t>
      </w:r>
      <w:r w:rsidR="006E7937">
        <w:rPr>
          <w:rFonts w:cs="Arial"/>
          <w:color w:val="auto"/>
        </w:rPr>
        <w:t xml:space="preserve"> and 2.13% of the gross service expenditure budget of £28.734 million</w:t>
      </w:r>
      <w:r w:rsidR="00557303" w:rsidRPr="00E44A0A">
        <w:rPr>
          <w:rFonts w:cs="Arial"/>
          <w:color w:val="auto"/>
        </w:rPr>
        <w:t>)</w:t>
      </w:r>
      <w:r w:rsidR="00C72FE8" w:rsidRPr="00E44A0A">
        <w:rPr>
          <w:rFonts w:cs="Arial"/>
          <w:color w:val="auto"/>
        </w:rPr>
        <w:t xml:space="preserve">, </w:t>
      </w:r>
      <w:r w:rsidR="00BF25C3" w:rsidRPr="00E44A0A">
        <w:rPr>
          <w:rFonts w:cs="Arial"/>
          <w:color w:val="auto"/>
        </w:rPr>
        <w:t>after allowing for carry forwards to reserves of £</w:t>
      </w:r>
      <w:r w:rsidR="00BB796D" w:rsidRPr="00E44A0A">
        <w:rPr>
          <w:rFonts w:cs="Arial"/>
          <w:color w:val="auto"/>
        </w:rPr>
        <w:t>0.</w:t>
      </w:r>
      <w:r w:rsidR="00AF0443" w:rsidRPr="00E44A0A">
        <w:rPr>
          <w:rFonts w:cs="Arial"/>
          <w:color w:val="auto"/>
        </w:rPr>
        <w:t>084</w:t>
      </w:r>
      <w:r w:rsidR="00BB796D" w:rsidRPr="00E44A0A">
        <w:rPr>
          <w:rFonts w:cs="Arial"/>
          <w:color w:val="auto"/>
        </w:rPr>
        <w:t xml:space="preserve"> </w:t>
      </w:r>
      <w:r w:rsidR="004D0FD0" w:rsidRPr="00E44A0A">
        <w:rPr>
          <w:rFonts w:cs="Arial"/>
          <w:color w:val="auto"/>
        </w:rPr>
        <w:t>million</w:t>
      </w:r>
      <w:r w:rsidR="001318CF" w:rsidRPr="00E44A0A">
        <w:rPr>
          <w:rFonts w:cs="Arial"/>
          <w:color w:val="auto"/>
        </w:rPr>
        <w:t xml:space="preserve">.  </w:t>
      </w:r>
      <w:r w:rsidR="009450D3" w:rsidRPr="00E44A0A">
        <w:rPr>
          <w:rFonts w:cs="Arial"/>
          <w:color w:val="auto"/>
        </w:rPr>
        <w:t>The Council is currently updating its condition surveys in respect of corporate buildings and there are already significant repairs that require undertaking</w:t>
      </w:r>
      <w:r w:rsidR="00AF6699" w:rsidRPr="00E44A0A">
        <w:rPr>
          <w:rFonts w:cs="Arial"/>
          <w:color w:val="auto"/>
        </w:rPr>
        <w:t>,</w:t>
      </w:r>
      <w:r w:rsidR="009450D3" w:rsidRPr="00E44A0A">
        <w:rPr>
          <w:rFonts w:cs="Arial"/>
          <w:color w:val="auto"/>
        </w:rPr>
        <w:t xml:space="preserve"> </w:t>
      </w:r>
      <w:r w:rsidR="005E7F4B">
        <w:rPr>
          <w:rFonts w:cs="Arial"/>
          <w:color w:val="auto"/>
        </w:rPr>
        <w:t>including</w:t>
      </w:r>
      <w:r w:rsidR="009450D3" w:rsidRPr="00E44A0A">
        <w:rPr>
          <w:rFonts w:cs="Arial"/>
          <w:color w:val="auto"/>
        </w:rPr>
        <w:t xml:space="preserve"> £</w:t>
      </w:r>
      <w:r w:rsidR="007B2188" w:rsidRPr="00E44A0A">
        <w:rPr>
          <w:rFonts w:cs="Arial"/>
          <w:color w:val="auto"/>
        </w:rPr>
        <w:t>0.</w:t>
      </w:r>
      <w:r w:rsidR="00695DEE" w:rsidRPr="00E44A0A">
        <w:rPr>
          <w:rFonts w:cs="Arial"/>
          <w:color w:val="auto"/>
        </w:rPr>
        <w:t>600</w:t>
      </w:r>
      <w:r w:rsidR="007B2188" w:rsidRPr="00E44A0A">
        <w:rPr>
          <w:rFonts w:cs="Arial"/>
          <w:color w:val="auto"/>
        </w:rPr>
        <w:t xml:space="preserve"> million</w:t>
      </w:r>
      <w:r w:rsidR="009450D3" w:rsidRPr="00E44A0A">
        <w:rPr>
          <w:rFonts w:cs="Arial"/>
          <w:color w:val="auto"/>
        </w:rPr>
        <w:t xml:space="preserve"> of repairs to the Town Hall ceilings.  A recommendation </w:t>
      </w:r>
      <w:r w:rsidR="00695DEE" w:rsidRPr="00E44A0A">
        <w:rPr>
          <w:rFonts w:cs="Arial"/>
          <w:color w:val="auto"/>
        </w:rPr>
        <w:t xml:space="preserve">is </w:t>
      </w:r>
      <w:r w:rsidR="009450D3" w:rsidRPr="00E44A0A">
        <w:rPr>
          <w:rFonts w:cs="Arial"/>
          <w:color w:val="auto"/>
        </w:rPr>
        <w:t>made to transfer this £</w:t>
      </w:r>
      <w:r w:rsidR="007B2188" w:rsidRPr="00E44A0A">
        <w:rPr>
          <w:rFonts w:cs="Arial"/>
          <w:color w:val="auto"/>
        </w:rPr>
        <w:t>0.610 million</w:t>
      </w:r>
      <w:r w:rsidR="009450D3" w:rsidRPr="00E44A0A">
        <w:rPr>
          <w:rFonts w:cs="Arial"/>
          <w:color w:val="auto"/>
        </w:rPr>
        <w:t xml:space="preserve"> surplus to an earmarked reserve for repairs and maintenance of corporate buildings</w:t>
      </w:r>
      <w:r w:rsidR="00695DEE" w:rsidRPr="00E44A0A">
        <w:rPr>
          <w:rFonts w:cs="Arial"/>
          <w:color w:val="auto"/>
        </w:rPr>
        <w:t xml:space="preserve"> to cover these expected </w:t>
      </w:r>
      <w:r w:rsidR="000E6150" w:rsidRPr="00E44A0A">
        <w:rPr>
          <w:rFonts w:cs="Arial"/>
          <w:color w:val="auto"/>
        </w:rPr>
        <w:t>commitments</w:t>
      </w:r>
      <w:r w:rsidR="009450D3" w:rsidRPr="00E44A0A">
        <w:rPr>
          <w:rFonts w:cs="Arial"/>
          <w:color w:val="auto"/>
        </w:rPr>
        <w:t xml:space="preserve">.  </w:t>
      </w:r>
    </w:p>
    <w:p w:rsidR="00BB796D" w:rsidRPr="00966F41" w:rsidRDefault="00953A87" w:rsidP="006C6A27">
      <w:pPr>
        <w:pStyle w:val="ListParagraph"/>
        <w:numPr>
          <w:ilvl w:val="1"/>
          <w:numId w:val="2"/>
        </w:numPr>
        <w:rPr>
          <w:color w:val="auto"/>
        </w:rPr>
      </w:pPr>
      <w:r w:rsidRPr="008A339B">
        <w:rPr>
          <w:rFonts w:cs="Arial"/>
          <w:b/>
          <w:color w:val="auto"/>
        </w:rPr>
        <w:t xml:space="preserve">Efficiencies, Fees and Charges and Service Reduction Targets </w:t>
      </w:r>
      <w:r w:rsidRPr="008A339B">
        <w:rPr>
          <w:color w:val="auto"/>
        </w:rPr>
        <w:t xml:space="preserve">– at year </w:t>
      </w:r>
      <w:r w:rsidRPr="00966F41">
        <w:rPr>
          <w:color w:val="auto"/>
        </w:rPr>
        <w:t>end the actual</w:t>
      </w:r>
      <w:r w:rsidR="006E68D7" w:rsidRPr="00966F41">
        <w:rPr>
          <w:color w:val="auto"/>
        </w:rPr>
        <w:t xml:space="preserve"> sum</w:t>
      </w:r>
      <w:r w:rsidRPr="00966F41">
        <w:rPr>
          <w:color w:val="auto"/>
        </w:rPr>
        <w:t xml:space="preserve"> </w:t>
      </w:r>
      <w:r w:rsidR="00BB796D" w:rsidRPr="00966F41">
        <w:rPr>
          <w:color w:val="auto"/>
        </w:rPr>
        <w:t xml:space="preserve">is on target at </w:t>
      </w:r>
      <w:r w:rsidR="008A339B" w:rsidRPr="00966F41">
        <w:rPr>
          <w:color w:val="auto"/>
        </w:rPr>
        <w:t>£</w:t>
      </w:r>
      <w:r w:rsidR="007B2188">
        <w:rPr>
          <w:color w:val="auto"/>
        </w:rPr>
        <w:t>0.521million</w:t>
      </w:r>
      <w:r w:rsidR="006E7937">
        <w:rPr>
          <w:color w:val="auto"/>
        </w:rPr>
        <w:t>, which equates to overall savings made over the last four years of £6.916 million.</w:t>
      </w:r>
    </w:p>
    <w:p w:rsidR="001121C1" w:rsidRPr="00966F41" w:rsidRDefault="00C2674F" w:rsidP="006C6A27">
      <w:pPr>
        <w:pStyle w:val="ListParagraph"/>
        <w:numPr>
          <w:ilvl w:val="1"/>
          <w:numId w:val="2"/>
        </w:numPr>
        <w:rPr>
          <w:color w:val="auto"/>
        </w:rPr>
      </w:pPr>
      <w:r w:rsidRPr="00966F41">
        <w:rPr>
          <w:b/>
          <w:color w:val="auto"/>
        </w:rPr>
        <w:t>Housing Revenue Account</w:t>
      </w:r>
      <w:r w:rsidRPr="00966F41">
        <w:rPr>
          <w:color w:val="auto"/>
        </w:rPr>
        <w:t xml:space="preserve"> – </w:t>
      </w:r>
      <w:r w:rsidR="00C72FE8" w:rsidRPr="00966F41">
        <w:rPr>
          <w:color w:val="auto"/>
        </w:rPr>
        <w:t xml:space="preserve">The </w:t>
      </w:r>
      <w:r w:rsidR="00966F41" w:rsidRPr="00966F41">
        <w:rPr>
          <w:color w:val="auto"/>
        </w:rPr>
        <w:t xml:space="preserve">year end </w:t>
      </w:r>
      <w:r w:rsidR="00C72FE8" w:rsidRPr="00966F41">
        <w:rPr>
          <w:color w:val="auto"/>
        </w:rPr>
        <w:t xml:space="preserve">surplus on the HRA is </w:t>
      </w:r>
      <w:r w:rsidR="00966F41" w:rsidRPr="00966F41">
        <w:rPr>
          <w:color w:val="auto"/>
        </w:rPr>
        <w:t xml:space="preserve">a favourable </w:t>
      </w:r>
      <w:r w:rsidR="00C72FE8" w:rsidRPr="00966F41">
        <w:rPr>
          <w:color w:val="auto"/>
        </w:rPr>
        <w:t>£</w:t>
      </w:r>
      <w:r w:rsidR="00966F41" w:rsidRPr="00966F41">
        <w:rPr>
          <w:color w:val="auto"/>
        </w:rPr>
        <w:t>3.</w:t>
      </w:r>
      <w:r w:rsidR="0084531E" w:rsidRPr="00966F41">
        <w:rPr>
          <w:color w:val="auto"/>
        </w:rPr>
        <w:t>7</w:t>
      </w:r>
      <w:r w:rsidR="00966F41" w:rsidRPr="00966F41">
        <w:rPr>
          <w:color w:val="auto"/>
        </w:rPr>
        <w:t>16</w:t>
      </w:r>
      <w:r w:rsidR="00BB090E" w:rsidRPr="00966F41">
        <w:rPr>
          <w:color w:val="auto"/>
        </w:rPr>
        <w:t xml:space="preserve"> million</w:t>
      </w:r>
      <w:r w:rsidR="009C409F" w:rsidRPr="00966F41">
        <w:rPr>
          <w:color w:val="auto"/>
        </w:rPr>
        <w:t xml:space="preserve">, after allowing for carry forwards of </w:t>
      </w:r>
      <w:r w:rsidR="00BB090E" w:rsidRPr="00966F41">
        <w:rPr>
          <w:color w:val="auto"/>
        </w:rPr>
        <w:t>£</w:t>
      </w:r>
      <w:r w:rsidR="009C409F" w:rsidRPr="00966F41">
        <w:rPr>
          <w:color w:val="auto"/>
        </w:rPr>
        <w:t>0</w:t>
      </w:r>
      <w:r w:rsidR="00BB090E" w:rsidRPr="00966F41">
        <w:rPr>
          <w:color w:val="auto"/>
        </w:rPr>
        <w:t>.</w:t>
      </w:r>
      <w:r w:rsidR="00597100">
        <w:rPr>
          <w:color w:val="auto"/>
        </w:rPr>
        <w:t>2</w:t>
      </w:r>
      <w:r w:rsidR="00966F41" w:rsidRPr="00966F41">
        <w:rPr>
          <w:color w:val="auto"/>
        </w:rPr>
        <w:t>02</w:t>
      </w:r>
      <w:r w:rsidR="00C72FE8" w:rsidRPr="00966F41">
        <w:rPr>
          <w:color w:val="auto"/>
        </w:rPr>
        <w:t xml:space="preserve"> million</w:t>
      </w:r>
      <w:r w:rsidR="00BB090E" w:rsidRPr="00966F41">
        <w:rPr>
          <w:color w:val="auto"/>
        </w:rPr>
        <w:t xml:space="preserve"> </w:t>
      </w:r>
      <w:r w:rsidR="009C409F" w:rsidRPr="00966F41">
        <w:rPr>
          <w:color w:val="auto"/>
        </w:rPr>
        <w:t>against t</w:t>
      </w:r>
      <w:r w:rsidR="00BB796D" w:rsidRPr="00966F41">
        <w:rPr>
          <w:color w:val="auto"/>
        </w:rPr>
        <w:t>he original budget</w:t>
      </w:r>
      <w:r w:rsidR="005E7AF6">
        <w:rPr>
          <w:color w:val="auto"/>
        </w:rPr>
        <w:t>ed deficit</w:t>
      </w:r>
      <w:r w:rsidR="00BB796D" w:rsidRPr="00966F41">
        <w:rPr>
          <w:color w:val="auto"/>
        </w:rPr>
        <w:t xml:space="preserve"> of £</w:t>
      </w:r>
      <w:r w:rsidR="00966F41" w:rsidRPr="00966F41">
        <w:rPr>
          <w:color w:val="auto"/>
        </w:rPr>
        <w:t>1.440</w:t>
      </w:r>
      <w:r w:rsidR="00BB796D" w:rsidRPr="00966F41">
        <w:rPr>
          <w:color w:val="auto"/>
        </w:rPr>
        <w:t xml:space="preserve"> million.</w:t>
      </w:r>
      <w:r w:rsidR="00884F2C" w:rsidRPr="00966F41">
        <w:rPr>
          <w:color w:val="auto"/>
        </w:rPr>
        <w:t xml:space="preserve">  </w:t>
      </w:r>
      <w:r w:rsidR="006C6A27" w:rsidRPr="00966F41">
        <w:rPr>
          <w:color w:val="auto"/>
        </w:rPr>
        <w:t xml:space="preserve">It is recommended to </w:t>
      </w:r>
      <w:r w:rsidR="00BB796D" w:rsidRPr="00966F41">
        <w:rPr>
          <w:color w:val="auto"/>
        </w:rPr>
        <w:t xml:space="preserve">transfer </w:t>
      </w:r>
      <w:r w:rsidR="00884F2C" w:rsidRPr="00966F41">
        <w:rPr>
          <w:color w:val="auto"/>
        </w:rPr>
        <w:t>the</w:t>
      </w:r>
      <w:r w:rsidR="00BB796D" w:rsidRPr="00966F41">
        <w:rPr>
          <w:color w:val="auto"/>
        </w:rPr>
        <w:t xml:space="preserve"> </w:t>
      </w:r>
      <w:r w:rsidR="00BB090E" w:rsidRPr="00966F41">
        <w:rPr>
          <w:color w:val="auto"/>
        </w:rPr>
        <w:t xml:space="preserve"> £</w:t>
      </w:r>
      <w:r w:rsidR="00966F41" w:rsidRPr="00966F41">
        <w:rPr>
          <w:color w:val="auto"/>
        </w:rPr>
        <w:t>3.716</w:t>
      </w:r>
      <w:r w:rsidR="00884F2C" w:rsidRPr="00966F41">
        <w:rPr>
          <w:color w:val="auto"/>
        </w:rPr>
        <w:t xml:space="preserve"> million</w:t>
      </w:r>
      <w:r w:rsidR="006C6A27" w:rsidRPr="00966F41">
        <w:rPr>
          <w:color w:val="auto"/>
        </w:rPr>
        <w:t xml:space="preserve"> </w:t>
      </w:r>
      <w:r w:rsidR="00CF4E15" w:rsidRPr="00966F41">
        <w:rPr>
          <w:color w:val="auto"/>
        </w:rPr>
        <w:t>in</w:t>
      </w:r>
      <w:r w:rsidR="00B80341" w:rsidRPr="00966F41">
        <w:rPr>
          <w:color w:val="auto"/>
        </w:rPr>
        <w:t xml:space="preserve">to </w:t>
      </w:r>
      <w:r w:rsidR="00BB796D" w:rsidRPr="00966F41">
        <w:rPr>
          <w:color w:val="auto"/>
        </w:rPr>
        <w:t xml:space="preserve">the </w:t>
      </w:r>
      <w:r w:rsidR="00BB090E" w:rsidRPr="00966F41">
        <w:rPr>
          <w:color w:val="auto"/>
        </w:rPr>
        <w:t>HRA projects</w:t>
      </w:r>
      <w:r w:rsidR="00E44A0A">
        <w:rPr>
          <w:color w:val="auto"/>
        </w:rPr>
        <w:t xml:space="preserve"> reserve to fund future capital commitments</w:t>
      </w:r>
      <w:r w:rsidR="00BB796D" w:rsidRPr="00966F41">
        <w:rPr>
          <w:color w:val="auto"/>
        </w:rPr>
        <w:t xml:space="preserve">  </w:t>
      </w:r>
    </w:p>
    <w:p w:rsidR="00C2674F" w:rsidRPr="008A15F8" w:rsidRDefault="00C2674F" w:rsidP="002873F1">
      <w:pPr>
        <w:pStyle w:val="ListParagraph"/>
        <w:numPr>
          <w:ilvl w:val="1"/>
          <w:numId w:val="2"/>
        </w:numPr>
        <w:rPr>
          <w:color w:val="000000" w:themeColor="text1"/>
        </w:rPr>
      </w:pPr>
      <w:r w:rsidRPr="008A15F8">
        <w:rPr>
          <w:rFonts w:cs="Arial"/>
          <w:b/>
          <w:color w:val="000000" w:themeColor="text1"/>
        </w:rPr>
        <w:t>Capital Programme</w:t>
      </w:r>
      <w:r w:rsidRPr="008A15F8">
        <w:rPr>
          <w:rFonts w:cs="Arial"/>
          <w:color w:val="000000" w:themeColor="text1"/>
        </w:rPr>
        <w:t xml:space="preserve"> – the </w:t>
      </w:r>
      <w:r w:rsidR="00136EB8" w:rsidRPr="008A15F8">
        <w:rPr>
          <w:rFonts w:cs="Arial"/>
          <w:color w:val="000000" w:themeColor="text1"/>
        </w:rPr>
        <w:t xml:space="preserve">outturn </w:t>
      </w:r>
      <w:r w:rsidR="00D3622B" w:rsidRPr="008A15F8">
        <w:rPr>
          <w:rFonts w:cs="Arial"/>
          <w:color w:val="000000" w:themeColor="text1"/>
        </w:rPr>
        <w:t>spend</w:t>
      </w:r>
      <w:r w:rsidR="00E141C6" w:rsidRPr="008A15F8">
        <w:rPr>
          <w:rFonts w:cs="Arial"/>
          <w:color w:val="000000" w:themeColor="text1"/>
        </w:rPr>
        <w:t xml:space="preserve"> is </w:t>
      </w:r>
      <w:r w:rsidR="00D3622B" w:rsidRPr="008A15F8">
        <w:rPr>
          <w:rFonts w:cs="Arial"/>
          <w:color w:val="000000" w:themeColor="text1"/>
        </w:rPr>
        <w:t>£</w:t>
      </w:r>
      <w:r w:rsidR="008A15F8" w:rsidRPr="008A15F8">
        <w:rPr>
          <w:rFonts w:cs="Arial"/>
          <w:color w:val="000000" w:themeColor="text1"/>
        </w:rPr>
        <w:t>42.533</w:t>
      </w:r>
      <w:r w:rsidR="00206B28" w:rsidRPr="008A15F8">
        <w:rPr>
          <w:rFonts w:cs="Arial"/>
          <w:color w:val="000000" w:themeColor="text1"/>
        </w:rPr>
        <w:t xml:space="preserve"> </w:t>
      </w:r>
      <w:r w:rsidR="00E141C6" w:rsidRPr="008A15F8">
        <w:rPr>
          <w:rFonts w:cs="Arial"/>
          <w:color w:val="000000" w:themeColor="text1"/>
        </w:rPr>
        <w:t>million</w:t>
      </w:r>
      <w:r w:rsidR="00B80341" w:rsidRPr="008A15F8">
        <w:rPr>
          <w:rFonts w:cs="Arial"/>
          <w:color w:val="000000" w:themeColor="text1"/>
        </w:rPr>
        <w:t>,</w:t>
      </w:r>
      <w:r w:rsidR="00EF7982">
        <w:rPr>
          <w:rFonts w:cs="Arial"/>
          <w:color w:val="000000" w:themeColor="text1"/>
        </w:rPr>
        <w:t xml:space="preserve"> a favourable variance of </w:t>
      </w:r>
      <w:r w:rsidR="005E6A9E" w:rsidRPr="008A15F8">
        <w:rPr>
          <w:rFonts w:cs="Arial"/>
          <w:color w:val="000000" w:themeColor="text1"/>
        </w:rPr>
        <w:t>£</w:t>
      </w:r>
      <w:r w:rsidR="00884F2C" w:rsidRPr="008A15F8">
        <w:rPr>
          <w:rFonts w:cs="Arial"/>
          <w:color w:val="000000" w:themeColor="text1"/>
        </w:rPr>
        <w:t>1</w:t>
      </w:r>
      <w:r w:rsidR="008A15F8" w:rsidRPr="008A15F8">
        <w:rPr>
          <w:rFonts w:cs="Arial"/>
          <w:color w:val="000000" w:themeColor="text1"/>
        </w:rPr>
        <w:t>0</w:t>
      </w:r>
      <w:r w:rsidR="00CF62B2" w:rsidRPr="008A15F8">
        <w:rPr>
          <w:rFonts w:cs="Arial"/>
          <w:color w:val="000000" w:themeColor="text1"/>
        </w:rPr>
        <w:t>.</w:t>
      </w:r>
      <w:r w:rsidR="008A15F8" w:rsidRPr="008A15F8">
        <w:rPr>
          <w:rFonts w:cs="Arial"/>
          <w:color w:val="000000" w:themeColor="text1"/>
        </w:rPr>
        <w:t>398</w:t>
      </w:r>
      <w:r w:rsidR="005E6A9E" w:rsidRPr="008A15F8">
        <w:rPr>
          <w:rFonts w:cs="Arial"/>
          <w:color w:val="000000" w:themeColor="text1"/>
        </w:rPr>
        <w:t xml:space="preserve"> million against the latest budget</w:t>
      </w:r>
      <w:r w:rsidR="00E44A0A">
        <w:rPr>
          <w:rFonts w:cs="Arial"/>
          <w:color w:val="000000" w:themeColor="text1"/>
        </w:rPr>
        <w:t xml:space="preserve"> forecast in February 2019</w:t>
      </w:r>
      <w:r w:rsidR="000E6150">
        <w:rPr>
          <w:rFonts w:cs="Arial"/>
          <w:color w:val="000000" w:themeColor="text1"/>
        </w:rPr>
        <w:t>.</w:t>
      </w:r>
      <w:r w:rsidR="005E6A9E" w:rsidRPr="008A15F8">
        <w:rPr>
          <w:rFonts w:cs="Arial"/>
          <w:color w:val="000000" w:themeColor="text1"/>
        </w:rPr>
        <w:t xml:space="preserve">  </w:t>
      </w:r>
      <w:r w:rsidR="008A15F8" w:rsidRPr="008A15F8">
        <w:rPr>
          <w:rFonts w:cs="Arial"/>
          <w:color w:val="000000" w:themeColor="text1"/>
        </w:rPr>
        <w:t>Of this £10.489</w:t>
      </w:r>
      <w:r w:rsidR="00EF7982">
        <w:rPr>
          <w:rFonts w:cs="Arial"/>
          <w:color w:val="000000" w:themeColor="text1"/>
        </w:rPr>
        <w:t xml:space="preserve"> </w:t>
      </w:r>
      <w:r w:rsidR="00F26F53" w:rsidRPr="008A15F8">
        <w:rPr>
          <w:rFonts w:cs="Arial"/>
          <w:color w:val="000000" w:themeColor="text1"/>
        </w:rPr>
        <w:t>million is slippage</w:t>
      </w:r>
      <w:r w:rsidR="00E44A0A">
        <w:rPr>
          <w:rFonts w:cs="Arial"/>
          <w:color w:val="000000" w:themeColor="text1"/>
        </w:rPr>
        <w:t xml:space="preserve"> relating to ICT projects, purchase of homes at Barton Park and loans to the Housing Company</w:t>
      </w:r>
      <w:r w:rsidR="00F26F53" w:rsidRPr="008A15F8">
        <w:rPr>
          <w:rFonts w:cs="Arial"/>
          <w:color w:val="000000" w:themeColor="text1"/>
        </w:rPr>
        <w:t>, which will be carried for</w:t>
      </w:r>
      <w:r w:rsidR="00884F2C" w:rsidRPr="008A15F8">
        <w:rPr>
          <w:rFonts w:cs="Arial"/>
          <w:color w:val="000000" w:themeColor="text1"/>
        </w:rPr>
        <w:t>wa</w:t>
      </w:r>
      <w:r w:rsidR="008A15F8" w:rsidRPr="008A15F8">
        <w:rPr>
          <w:rFonts w:cs="Arial"/>
          <w:color w:val="000000" w:themeColor="text1"/>
        </w:rPr>
        <w:t>rd into future years and £0.</w:t>
      </w:r>
      <w:r w:rsidR="001318CF">
        <w:rPr>
          <w:rFonts w:cs="Arial"/>
          <w:color w:val="000000" w:themeColor="text1"/>
        </w:rPr>
        <w:t>0</w:t>
      </w:r>
      <w:r w:rsidR="008A15F8" w:rsidRPr="008A15F8">
        <w:rPr>
          <w:rFonts w:cs="Arial"/>
          <w:color w:val="000000" w:themeColor="text1"/>
        </w:rPr>
        <w:t xml:space="preserve">92 </w:t>
      </w:r>
      <w:r w:rsidR="00F26F53" w:rsidRPr="008A15F8">
        <w:rPr>
          <w:rFonts w:cs="Arial"/>
          <w:color w:val="000000" w:themeColor="text1"/>
        </w:rPr>
        <w:t xml:space="preserve">million </w:t>
      </w:r>
      <w:r w:rsidR="00E44A0A">
        <w:rPr>
          <w:rFonts w:cs="Arial"/>
          <w:color w:val="000000" w:themeColor="text1"/>
        </w:rPr>
        <w:t xml:space="preserve">relates to small </w:t>
      </w:r>
      <w:r w:rsidR="000C3FBC" w:rsidRPr="008A15F8">
        <w:rPr>
          <w:rFonts w:cs="Arial"/>
          <w:color w:val="000000" w:themeColor="text1"/>
        </w:rPr>
        <w:t>net</w:t>
      </w:r>
      <w:r w:rsidR="00F26F53" w:rsidRPr="008A15F8">
        <w:rPr>
          <w:rFonts w:cs="Arial"/>
          <w:color w:val="000000" w:themeColor="text1"/>
        </w:rPr>
        <w:t xml:space="preserve"> </w:t>
      </w:r>
      <w:r w:rsidR="008A15F8" w:rsidRPr="008A15F8">
        <w:rPr>
          <w:rFonts w:cs="Arial"/>
          <w:color w:val="000000" w:themeColor="text1"/>
        </w:rPr>
        <w:t>overspend</w:t>
      </w:r>
      <w:r w:rsidR="00E44A0A">
        <w:rPr>
          <w:rFonts w:cs="Arial"/>
          <w:color w:val="000000" w:themeColor="text1"/>
        </w:rPr>
        <w:t>s</w:t>
      </w:r>
      <w:r w:rsidR="002E1770" w:rsidRPr="008A15F8">
        <w:rPr>
          <w:rFonts w:cs="Arial"/>
          <w:color w:val="000000" w:themeColor="text1"/>
        </w:rPr>
        <w:t xml:space="preserve"> on</w:t>
      </w:r>
      <w:r w:rsidR="00E44A0A">
        <w:rPr>
          <w:rFonts w:cs="Arial"/>
          <w:color w:val="000000" w:themeColor="text1"/>
        </w:rPr>
        <w:t xml:space="preserve"> a number of </w:t>
      </w:r>
      <w:r w:rsidR="00F26F53" w:rsidRPr="008A15F8">
        <w:rPr>
          <w:rFonts w:cs="Arial"/>
          <w:color w:val="000000" w:themeColor="text1"/>
        </w:rPr>
        <w:t>schemes,</w:t>
      </w:r>
      <w:r w:rsidR="000C3FBC" w:rsidRPr="008A15F8">
        <w:rPr>
          <w:rFonts w:cs="Arial"/>
          <w:color w:val="000000" w:themeColor="text1"/>
        </w:rPr>
        <w:t xml:space="preserve"> the funding for which </w:t>
      </w:r>
      <w:r w:rsidR="008A15F8" w:rsidRPr="008A15F8">
        <w:rPr>
          <w:rFonts w:cs="Arial"/>
          <w:color w:val="000000" w:themeColor="text1"/>
        </w:rPr>
        <w:t>has been covered by use of revenue funding and capital reserves.</w:t>
      </w:r>
      <w:r w:rsidR="00F26F53" w:rsidRPr="008A15F8">
        <w:rPr>
          <w:rFonts w:cs="Arial"/>
          <w:color w:val="000000" w:themeColor="text1"/>
        </w:rPr>
        <w:t xml:space="preserve"> </w:t>
      </w:r>
      <w:r w:rsidR="000C3FBC" w:rsidRPr="008A15F8">
        <w:rPr>
          <w:rFonts w:cs="Arial"/>
          <w:color w:val="000000" w:themeColor="text1"/>
        </w:rPr>
        <w:t xml:space="preserve"> </w:t>
      </w:r>
    </w:p>
    <w:p w:rsidR="00C2674F" w:rsidRPr="007B2188" w:rsidRDefault="00C2674F" w:rsidP="00FB70AC">
      <w:pPr>
        <w:pStyle w:val="ListParagraph"/>
        <w:rPr>
          <w:color w:val="auto"/>
        </w:rPr>
      </w:pPr>
      <w:r w:rsidRPr="00ED1971">
        <w:rPr>
          <w:b/>
          <w:color w:val="auto"/>
        </w:rPr>
        <w:t>Performance</w:t>
      </w:r>
      <w:r w:rsidRPr="00ED1971">
        <w:rPr>
          <w:color w:val="auto"/>
        </w:rPr>
        <w:t xml:space="preserve"> </w:t>
      </w:r>
      <w:r w:rsidR="00D45E2B" w:rsidRPr="00ED1971">
        <w:rPr>
          <w:color w:val="auto"/>
        </w:rPr>
        <w:t>–</w:t>
      </w:r>
      <w:r w:rsidRPr="00ED1971">
        <w:rPr>
          <w:color w:val="auto"/>
        </w:rPr>
        <w:t xml:space="preserve"> </w:t>
      </w:r>
      <w:r w:rsidR="00ED1971" w:rsidRPr="00ED1971">
        <w:rPr>
          <w:color w:val="auto"/>
        </w:rPr>
        <w:t>77</w:t>
      </w:r>
      <w:r w:rsidR="00E141C6" w:rsidRPr="00ED1971">
        <w:rPr>
          <w:rFonts w:cs="Arial"/>
          <w:color w:val="auto"/>
        </w:rPr>
        <w:t>% (</w:t>
      </w:r>
      <w:r w:rsidR="00ED1971" w:rsidRPr="00ED1971">
        <w:rPr>
          <w:rFonts w:cs="Arial"/>
          <w:color w:val="auto"/>
        </w:rPr>
        <w:t>10</w:t>
      </w:r>
      <w:r w:rsidR="00E141C6" w:rsidRPr="00ED1971">
        <w:rPr>
          <w:rFonts w:cs="Arial"/>
          <w:color w:val="auto"/>
        </w:rPr>
        <w:t>) of the C</w:t>
      </w:r>
      <w:r w:rsidR="00D3622B" w:rsidRPr="00ED1971">
        <w:rPr>
          <w:rFonts w:cs="Arial"/>
          <w:color w:val="auto"/>
        </w:rPr>
        <w:t>orporate</w:t>
      </w:r>
      <w:r w:rsidR="00BB090E" w:rsidRPr="00ED1971">
        <w:rPr>
          <w:rFonts w:cs="Arial"/>
          <w:color w:val="auto"/>
        </w:rPr>
        <w:t xml:space="preserve"> P</w:t>
      </w:r>
      <w:r w:rsidR="00E141C6" w:rsidRPr="00ED1971">
        <w:rPr>
          <w:rFonts w:cs="Arial"/>
          <w:color w:val="auto"/>
        </w:rPr>
        <w:t xml:space="preserve">erformance targets </w:t>
      </w:r>
      <w:r w:rsidR="00D3622B" w:rsidRPr="00ED1971">
        <w:rPr>
          <w:rFonts w:cs="Arial"/>
          <w:color w:val="auto"/>
        </w:rPr>
        <w:t>were</w:t>
      </w:r>
      <w:r w:rsidR="00CC118B" w:rsidRPr="00ED1971">
        <w:rPr>
          <w:rFonts w:cs="Arial"/>
          <w:color w:val="auto"/>
        </w:rPr>
        <w:t xml:space="preserve"> </w:t>
      </w:r>
      <w:r w:rsidR="00ED1971" w:rsidRPr="00ED1971">
        <w:rPr>
          <w:rFonts w:cs="Arial"/>
          <w:color w:val="auto"/>
        </w:rPr>
        <w:t>delivered as planned and 23</w:t>
      </w:r>
      <w:r w:rsidR="00E141C6" w:rsidRPr="00ED1971">
        <w:rPr>
          <w:rFonts w:cs="Arial"/>
          <w:color w:val="auto"/>
        </w:rPr>
        <w:t>% (</w:t>
      </w:r>
      <w:r w:rsidR="00ED1971" w:rsidRPr="00ED1971">
        <w:rPr>
          <w:rFonts w:cs="Arial"/>
          <w:color w:val="auto"/>
        </w:rPr>
        <w:t>3</w:t>
      </w:r>
      <w:r w:rsidR="00E141C6" w:rsidRPr="00ED1971">
        <w:rPr>
          <w:rFonts w:cs="Arial"/>
          <w:color w:val="auto"/>
        </w:rPr>
        <w:t>)</w:t>
      </w:r>
      <w:r w:rsidR="00D3622B" w:rsidRPr="00ED1971">
        <w:rPr>
          <w:rFonts w:cs="Arial"/>
          <w:color w:val="auto"/>
        </w:rPr>
        <w:t xml:space="preserve"> </w:t>
      </w:r>
      <w:r w:rsidR="002E1770" w:rsidRPr="00ED1971">
        <w:rPr>
          <w:rFonts w:cs="Arial"/>
          <w:color w:val="auto"/>
        </w:rPr>
        <w:t xml:space="preserve">were short of </w:t>
      </w:r>
      <w:r w:rsidR="00D3622B" w:rsidRPr="00ED1971">
        <w:rPr>
          <w:rFonts w:cs="Arial"/>
          <w:color w:val="auto"/>
        </w:rPr>
        <w:t xml:space="preserve">target; individual performance targets are </w:t>
      </w:r>
      <w:r w:rsidR="00D3622B" w:rsidRPr="00964010">
        <w:rPr>
          <w:rFonts w:cs="Arial"/>
          <w:color w:val="auto"/>
        </w:rPr>
        <w:t xml:space="preserve">detailed </w:t>
      </w:r>
      <w:r w:rsidR="00D3622B" w:rsidRPr="007B2188">
        <w:rPr>
          <w:rFonts w:cs="Arial"/>
          <w:color w:val="auto"/>
        </w:rPr>
        <w:t xml:space="preserve">in Appendix </w:t>
      </w:r>
      <w:r w:rsidR="00884F2C" w:rsidRPr="007B2188">
        <w:rPr>
          <w:rFonts w:cs="Arial"/>
          <w:color w:val="auto"/>
        </w:rPr>
        <w:t>F</w:t>
      </w:r>
      <w:r w:rsidR="00D3622B" w:rsidRPr="007B2188">
        <w:rPr>
          <w:rFonts w:cs="Arial"/>
          <w:color w:val="auto"/>
        </w:rPr>
        <w:t>.</w:t>
      </w:r>
      <w:r w:rsidR="005E6A9E" w:rsidRPr="007B2188">
        <w:rPr>
          <w:rFonts w:cs="Arial"/>
          <w:color w:val="auto"/>
        </w:rPr>
        <w:t xml:space="preserve">  </w:t>
      </w:r>
    </w:p>
    <w:p w:rsidR="00C2674F" w:rsidRPr="007B2188" w:rsidRDefault="006C483B" w:rsidP="00FB70AC">
      <w:pPr>
        <w:pStyle w:val="ListParagraph"/>
        <w:rPr>
          <w:color w:val="auto"/>
        </w:rPr>
      </w:pPr>
      <w:r w:rsidRPr="007B2188">
        <w:rPr>
          <w:rFonts w:cs="Arial"/>
          <w:b/>
          <w:color w:val="auto"/>
        </w:rPr>
        <w:lastRenderedPageBreak/>
        <w:t xml:space="preserve">Corporate </w:t>
      </w:r>
      <w:r w:rsidR="00C2674F" w:rsidRPr="007B2188">
        <w:rPr>
          <w:rFonts w:cs="Arial"/>
          <w:b/>
          <w:color w:val="auto"/>
        </w:rPr>
        <w:t>Risk Management</w:t>
      </w:r>
      <w:r w:rsidR="00650642" w:rsidRPr="007B2188">
        <w:rPr>
          <w:rFonts w:cs="Arial"/>
          <w:color w:val="auto"/>
        </w:rPr>
        <w:t xml:space="preserve"> – There </w:t>
      </w:r>
      <w:r w:rsidR="00D3622B" w:rsidRPr="007B2188">
        <w:rPr>
          <w:rFonts w:cs="Arial"/>
          <w:color w:val="auto"/>
        </w:rPr>
        <w:t>is one</w:t>
      </w:r>
      <w:r w:rsidR="00F67E17" w:rsidRPr="007B2188">
        <w:rPr>
          <w:rFonts w:cs="Arial"/>
          <w:color w:val="auto"/>
        </w:rPr>
        <w:t xml:space="preserve"> </w:t>
      </w:r>
      <w:r w:rsidR="000119EC" w:rsidRPr="007B2188">
        <w:rPr>
          <w:rFonts w:cs="Arial"/>
          <w:color w:val="auto"/>
        </w:rPr>
        <w:t xml:space="preserve">red </w:t>
      </w:r>
      <w:r w:rsidR="00C2674F" w:rsidRPr="007B2188">
        <w:rPr>
          <w:rFonts w:cs="Arial"/>
          <w:color w:val="auto"/>
        </w:rPr>
        <w:t>corporate risk</w:t>
      </w:r>
      <w:r w:rsidR="00964010" w:rsidRPr="007B2188">
        <w:rPr>
          <w:rFonts w:cs="Arial"/>
          <w:color w:val="auto"/>
        </w:rPr>
        <w:t>, nine</w:t>
      </w:r>
      <w:r w:rsidR="00884F2C" w:rsidRPr="007B2188">
        <w:rPr>
          <w:rFonts w:cs="Arial"/>
          <w:color w:val="auto"/>
        </w:rPr>
        <w:t xml:space="preserve"> risks </w:t>
      </w:r>
      <w:r w:rsidR="00964010" w:rsidRPr="007B2188">
        <w:rPr>
          <w:rFonts w:cs="Arial"/>
          <w:color w:val="auto"/>
        </w:rPr>
        <w:t xml:space="preserve">that </w:t>
      </w:r>
      <w:r w:rsidR="00884F2C" w:rsidRPr="007B2188">
        <w:rPr>
          <w:rFonts w:cs="Arial"/>
          <w:color w:val="auto"/>
        </w:rPr>
        <w:t xml:space="preserve">are </w:t>
      </w:r>
      <w:r w:rsidR="00D3622B" w:rsidRPr="007B2188">
        <w:rPr>
          <w:rFonts w:cs="Arial"/>
          <w:color w:val="auto"/>
        </w:rPr>
        <w:t>Amber risks,</w:t>
      </w:r>
      <w:r w:rsidR="00964010" w:rsidRPr="007B2188">
        <w:rPr>
          <w:rFonts w:cs="Arial"/>
          <w:color w:val="auto"/>
        </w:rPr>
        <w:t xml:space="preserve"> and two Green</w:t>
      </w:r>
      <w:r w:rsidR="00D3622B" w:rsidRPr="007B2188">
        <w:rPr>
          <w:rFonts w:cs="Arial"/>
          <w:color w:val="auto"/>
        </w:rPr>
        <w:t xml:space="preserve"> </w:t>
      </w:r>
      <w:r w:rsidR="00964010" w:rsidRPr="007B2188">
        <w:rPr>
          <w:rFonts w:cs="Arial"/>
          <w:color w:val="auto"/>
        </w:rPr>
        <w:t xml:space="preserve">risks, </w:t>
      </w:r>
      <w:r w:rsidR="00D3622B" w:rsidRPr="007B2188">
        <w:rPr>
          <w:rFonts w:cs="Arial"/>
          <w:color w:val="auto"/>
        </w:rPr>
        <w:t xml:space="preserve">these are detailed </w:t>
      </w:r>
      <w:r w:rsidR="008159AF" w:rsidRPr="007B2188">
        <w:rPr>
          <w:rFonts w:cs="Arial"/>
          <w:color w:val="auto"/>
        </w:rPr>
        <w:t xml:space="preserve">in </w:t>
      </w:r>
      <w:r w:rsidR="00E835AB" w:rsidRPr="007B2188">
        <w:rPr>
          <w:rFonts w:cs="Arial"/>
          <w:color w:val="auto"/>
        </w:rPr>
        <w:t>paragraph</w:t>
      </w:r>
      <w:r w:rsidR="00E44A0A">
        <w:rPr>
          <w:rFonts w:cs="Arial"/>
          <w:color w:val="auto"/>
        </w:rPr>
        <w:t>s</w:t>
      </w:r>
      <w:r w:rsidR="00E835AB" w:rsidRPr="007B2188">
        <w:rPr>
          <w:rFonts w:cs="Arial"/>
          <w:color w:val="auto"/>
        </w:rPr>
        <w:t xml:space="preserve"> 2</w:t>
      </w:r>
      <w:r w:rsidR="005E7AF6">
        <w:rPr>
          <w:rFonts w:cs="Arial"/>
          <w:color w:val="auto"/>
        </w:rPr>
        <w:t>0</w:t>
      </w:r>
      <w:r w:rsidR="002E1770" w:rsidRPr="007B2188">
        <w:rPr>
          <w:rFonts w:cs="Arial"/>
          <w:color w:val="auto"/>
        </w:rPr>
        <w:t>-2</w:t>
      </w:r>
      <w:r w:rsidR="005E7AF6">
        <w:rPr>
          <w:rFonts w:cs="Arial"/>
          <w:color w:val="auto"/>
        </w:rPr>
        <w:t>1</w:t>
      </w:r>
      <w:r w:rsidR="008159AF" w:rsidRPr="007B2188">
        <w:rPr>
          <w:rFonts w:cs="Arial"/>
          <w:color w:val="auto"/>
        </w:rPr>
        <w:t xml:space="preserve"> and in Appendix </w:t>
      </w:r>
      <w:r w:rsidR="007E7DC2" w:rsidRPr="007B2188">
        <w:rPr>
          <w:rFonts w:cs="Arial"/>
          <w:color w:val="auto"/>
        </w:rPr>
        <w:t>E</w:t>
      </w:r>
      <w:r w:rsidR="00D3622B" w:rsidRPr="007B2188">
        <w:rPr>
          <w:rFonts w:cs="Arial"/>
          <w:color w:val="auto"/>
        </w:rPr>
        <w:t>.</w:t>
      </w:r>
    </w:p>
    <w:p w:rsidR="00536A53" w:rsidRPr="00172D62" w:rsidRDefault="00536A53" w:rsidP="00C11950">
      <w:pPr>
        <w:pStyle w:val="ListParagraph"/>
        <w:numPr>
          <w:ilvl w:val="0"/>
          <w:numId w:val="0"/>
        </w:numPr>
        <w:ind w:left="426" w:hanging="426"/>
        <w:rPr>
          <w:b/>
          <w:color w:val="auto"/>
        </w:rPr>
      </w:pPr>
      <w:r w:rsidRPr="00172D62">
        <w:rPr>
          <w:b/>
          <w:color w:val="auto"/>
        </w:rPr>
        <w:t>General Fund Revenue</w:t>
      </w:r>
    </w:p>
    <w:p w:rsidR="00E141C6" w:rsidRPr="00172D62" w:rsidRDefault="001757B4" w:rsidP="009212B2">
      <w:pPr>
        <w:pStyle w:val="ListParagraph"/>
        <w:rPr>
          <w:color w:val="auto"/>
        </w:rPr>
      </w:pPr>
      <w:r w:rsidRPr="00172D62">
        <w:rPr>
          <w:color w:val="auto"/>
        </w:rPr>
        <w:t>The General Fund is showing a favourable variance of £</w:t>
      </w:r>
      <w:r w:rsidR="001318CF">
        <w:rPr>
          <w:color w:val="auto"/>
        </w:rPr>
        <w:t>0.</w:t>
      </w:r>
      <w:r w:rsidR="00F07707">
        <w:rPr>
          <w:color w:val="auto"/>
        </w:rPr>
        <w:t>610</w:t>
      </w:r>
      <w:r w:rsidRPr="00172D62">
        <w:rPr>
          <w:color w:val="auto"/>
        </w:rPr>
        <w:t xml:space="preserve"> million </w:t>
      </w:r>
      <w:r w:rsidR="00100B3F" w:rsidRPr="00172D62">
        <w:rPr>
          <w:color w:val="auto"/>
        </w:rPr>
        <w:t xml:space="preserve">as set out in Appendix A, </w:t>
      </w:r>
      <w:r w:rsidR="000C3FBC" w:rsidRPr="00172D62">
        <w:rPr>
          <w:color w:val="auto"/>
        </w:rPr>
        <w:t>after</w:t>
      </w:r>
      <w:r w:rsidRPr="00172D62">
        <w:rPr>
          <w:color w:val="auto"/>
        </w:rPr>
        <w:t xml:space="preserve"> carry forward requests.</w:t>
      </w:r>
      <w:r w:rsidR="007F4328" w:rsidRPr="00172D62">
        <w:rPr>
          <w:color w:val="auto"/>
        </w:rPr>
        <w:t xml:space="preserve"> </w:t>
      </w:r>
      <w:r w:rsidRPr="00172D62">
        <w:rPr>
          <w:color w:val="auto"/>
        </w:rPr>
        <w:t>The revenue balance remains unchanged at £3.622 million.</w:t>
      </w:r>
    </w:p>
    <w:p w:rsidR="001757B4" w:rsidRPr="00172D62" w:rsidRDefault="001757B4" w:rsidP="001757B4">
      <w:pPr>
        <w:pStyle w:val="ListParagraph"/>
        <w:numPr>
          <w:ilvl w:val="0"/>
          <w:numId w:val="0"/>
        </w:numPr>
        <w:rPr>
          <w:b/>
          <w:color w:val="auto"/>
        </w:rPr>
      </w:pPr>
      <w:r w:rsidRPr="00172D62">
        <w:rPr>
          <w:b/>
          <w:color w:val="auto"/>
        </w:rPr>
        <w:t>General Fund Earmarked Reserves and Working Balance</w:t>
      </w:r>
    </w:p>
    <w:p w:rsidR="001757B4" w:rsidRPr="00172D62" w:rsidRDefault="001757B4" w:rsidP="00D77751">
      <w:pPr>
        <w:pStyle w:val="ListParagraph"/>
        <w:tabs>
          <w:tab w:val="clear" w:pos="426"/>
        </w:tabs>
        <w:rPr>
          <w:color w:val="auto"/>
        </w:rPr>
      </w:pPr>
      <w:r w:rsidRPr="00172D62">
        <w:rPr>
          <w:color w:val="auto"/>
        </w:rPr>
        <w:t xml:space="preserve">A number of requests have been made to carry forward unspent sums </w:t>
      </w:r>
      <w:r w:rsidR="006F36C9" w:rsidRPr="00172D62">
        <w:rPr>
          <w:color w:val="auto"/>
        </w:rPr>
        <w:t xml:space="preserve">in respect of previously approved budgets </w:t>
      </w:r>
      <w:r w:rsidRPr="00172D62">
        <w:rPr>
          <w:color w:val="auto"/>
        </w:rPr>
        <w:t>that are started b</w:t>
      </w:r>
      <w:r w:rsidR="00216AA4" w:rsidRPr="00172D62">
        <w:rPr>
          <w:color w:val="auto"/>
        </w:rPr>
        <w:t>ut</w:t>
      </w:r>
      <w:r w:rsidRPr="00172D62">
        <w:rPr>
          <w:color w:val="auto"/>
        </w:rPr>
        <w:t xml:space="preserve"> not completed </w:t>
      </w:r>
      <w:r w:rsidR="00AF0443">
        <w:rPr>
          <w:color w:val="auto"/>
        </w:rPr>
        <w:t>totalling</w:t>
      </w:r>
      <w:r w:rsidR="00597100">
        <w:rPr>
          <w:color w:val="auto"/>
        </w:rPr>
        <w:t xml:space="preserve"> </w:t>
      </w:r>
      <w:r w:rsidR="00E96D58" w:rsidRPr="00172D62">
        <w:rPr>
          <w:color w:val="auto"/>
        </w:rPr>
        <w:t>£</w:t>
      </w:r>
      <w:r w:rsidR="007D0E8B" w:rsidRPr="00172D62">
        <w:rPr>
          <w:color w:val="auto"/>
        </w:rPr>
        <w:t>0.</w:t>
      </w:r>
      <w:r w:rsidR="001318CF">
        <w:rPr>
          <w:color w:val="auto"/>
        </w:rPr>
        <w:t>084</w:t>
      </w:r>
      <w:r w:rsidR="00627684" w:rsidRPr="00172D62">
        <w:rPr>
          <w:color w:val="auto"/>
        </w:rPr>
        <w:t xml:space="preserve"> million.</w:t>
      </w:r>
      <w:r w:rsidR="003450F2" w:rsidRPr="00172D62">
        <w:rPr>
          <w:color w:val="auto"/>
        </w:rPr>
        <w:t xml:space="preserve">  Details of these requests are summarised in the table below, and further detail</w:t>
      </w:r>
      <w:r w:rsidR="00216AA4" w:rsidRPr="00172D62">
        <w:rPr>
          <w:color w:val="auto"/>
        </w:rPr>
        <w:t>s</w:t>
      </w:r>
      <w:r w:rsidR="003450F2" w:rsidRPr="00172D62">
        <w:rPr>
          <w:color w:val="auto"/>
        </w:rPr>
        <w:t xml:space="preserve"> shown </w:t>
      </w:r>
      <w:r w:rsidR="003450F2" w:rsidRPr="007B2188">
        <w:rPr>
          <w:color w:val="auto"/>
        </w:rPr>
        <w:t xml:space="preserve">in Appendix </w:t>
      </w:r>
      <w:r w:rsidR="00FB4868" w:rsidRPr="007B2188">
        <w:rPr>
          <w:color w:val="auto"/>
        </w:rPr>
        <w:t>D</w:t>
      </w:r>
      <w:r w:rsidR="003450F2" w:rsidRPr="00172D62">
        <w:rPr>
          <w:color w:val="auto"/>
        </w:rPr>
        <w:t>:</w:t>
      </w:r>
    </w:p>
    <w:p w:rsidR="003450F2" w:rsidRPr="00FA33B1" w:rsidRDefault="000E6150" w:rsidP="003450F2">
      <w:pPr>
        <w:pStyle w:val="ListParagraph"/>
        <w:numPr>
          <w:ilvl w:val="0"/>
          <w:numId w:val="0"/>
        </w:numPr>
        <w:tabs>
          <w:tab w:val="clear" w:pos="426"/>
        </w:tabs>
        <w:ind w:left="426"/>
        <w:rPr>
          <w:color w:val="FF0000"/>
        </w:rPr>
      </w:pPr>
      <w:r w:rsidRPr="000E6150">
        <w:rPr>
          <w:noProof/>
        </w:rPr>
        <w:drawing>
          <wp:inline distT="0" distB="0" distL="0" distR="0" wp14:anchorId="2999B76B" wp14:editId="091E4CDB">
            <wp:extent cx="5619750" cy="24943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206" cy="2496820"/>
                    </a:xfrm>
                    <a:prstGeom prst="rect">
                      <a:avLst/>
                    </a:prstGeom>
                    <a:noFill/>
                    <a:ln>
                      <a:noFill/>
                    </a:ln>
                  </pic:spPr>
                </pic:pic>
              </a:graphicData>
            </a:graphic>
          </wp:inline>
        </w:drawing>
      </w:r>
    </w:p>
    <w:p w:rsidR="003450F2" w:rsidRPr="00B161AA" w:rsidRDefault="003450F2" w:rsidP="003450F2">
      <w:pPr>
        <w:pStyle w:val="ListParagraph"/>
        <w:numPr>
          <w:ilvl w:val="0"/>
          <w:numId w:val="0"/>
        </w:numPr>
        <w:tabs>
          <w:tab w:val="clear" w:pos="426"/>
        </w:tabs>
        <w:ind w:left="426"/>
        <w:rPr>
          <w:color w:val="auto"/>
        </w:rPr>
      </w:pPr>
    </w:p>
    <w:p w:rsidR="00DB5C45" w:rsidRPr="00B161AA" w:rsidRDefault="004F58D3" w:rsidP="00D77751">
      <w:pPr>
        <w:pStyle w:val="ListParagraph"/>
        <w:tabs>
          <w:tab w:val="clear" w:pos="426"/>
        </w:tabs>
        <w:rPr>
          <w:color w:val="auto"/>
        </w:rPr>
      </w:pPr>
      <w:r w:rsidRPr="00B161AA">
        <w:rPr>
          <w:color w:val="auto"/>
        </w:rPr>
        <w:t>In addition to the above requests for carry forwards the Council has a need to progress the work in establishing a Citizens</w:t>
      </w:r>
      <w:r w:rsidR="00742F96">
        <w:rPr>
          <w:color w:val="auto"/>
        </w:rPr>
        <w:t>’</w:t>
      </w:r>
      <w:r w:rsidRPr="00B161AA">
        <w:rPr>
          <w:color w:val="auto"/>
        </w:rPr>
        <w:t xml:space="preserve"> Assembly in September 2019 following a backing by Full Council in January 2019 of a Motion to declare a Climate Emergency. Costs to undertake the necessary </w:t>
      </w:r>
      <w:proofErr w:type="gramStart"/>
      <w:r w:rsidRPr="00B161AA">
        <w:rPr>
          <w:color w:val="auto"/>
        </w:rPr>
        <w:t xml:space="preserve">work </w:t>
      </w:r>
      <w:r w:rsidR="00DB5C45" w:rsidRPr="00B161AA">
        <w:rPr>
          <w:color w:val="auto"/>
        </w:rPr>
        <w:t>are</w:t>
      </w:r>
      <w:proofErr w:type="gramEnd"/>
      <w:r w:rsidR="00DB5C45" w:rsidRPr="00B161AA">
        <w:rPr>
          <w:color w:val="auto"/>
        </w:rPr>
        <w:t xml:space="preserve"> estimated at around £200k for which budgetary provision funded from the overall underspends will need to be made. As well as commission research on a number of areas work will also include :</w:t>
      </w:r>
    </w:p>
    <w:p w:rsidR="00DB5C45" w:rsidRPr="00B161AA" w:rsidRDefault="00DB5C45" w:rsidP="00DB5C45">
      <w:pPr>
        <w:pStyle w:val="Default"/>
        <w:numPr>
          <w:ilvl w:val="0"/>
          <w:numId w:val="45"/>
        </w:numPr>
        <w:rPr>
          <w:color w:val="auto"/>
        </w:rPr>
      </w:pPr>
      <w:r w:rsidRPr="00B161AA">
        <w:rPr>
          <w:color w:val="auto"/>
        </w:rPr>
        <w:t xml:space="preserve">Assembly contributors research, identify, support, briefing of speakers </w:t>
      </w:r>
    </w:p>
    <w:p w:rsidR="00DB5C45" w:rsidRPr="00B161AA" w:rsidRDefault="00DB5C45" w:rsidP="00DB5C45">
      <w:pPr>
        <w:pStyle w:val="Default"/>
        <w:numPr>
          <w:ilvl w:val="0"/>
          <w:numId w:val="45"/>
        </w:numPr>
        <w:rPr>
          <w:color w:val="auto"/>
        </w:rPr>
      </w:pPr>
      <w:r w:rsidRPr="00B161AA">
        <w:rPr>
          <w:color w:val="auto"/>
        </w:rPr>
        <w:t xml:space="preserve">Scoping clearly the areas that OCC controls to deliver emissions reductions </w:t>
      </w:r>
    </w:p>
    <w:p w:rsidR="00DB5C45" w:rsidRPr="00B161AA" w:rsidRDefault="00DB5C45" w:rsidP="00DB5C45">
      <w:pPr>
        <w:pStyle w:val="Default"/>
        <w:numPr>
          <w:ilvl w:val="0"/>
          <w:numId w:val="45"/>
        </w:numPr>
        <w:rPr>
          <w:color w:val="auto"/>
        </w:rPr>
      </w:pPr>
      <w:r w:rsidRPr="00B161AA">
        <w:rPr>
          <w:color w:val="auto"/>
        </w:rPr>
        <w:t>Issue papers on areas that OCC controls e</w:t>
      </w:r>
      <w:r w:rsidR="00742F96">
        <w:rPr>
          <w:color w:val="auto"/>
        </w:rPr>
        <w:t>.</w:t>
      </w:r>
      <w:bookmarkStart w:id="0" w:name="_GoBack"/>
      <w:bookmarkEnd w:id="0"/>
      <w:r w:rsidRPr="00B161AA">
        <w:rPr>
          <w:color w:val="auto"/>
        </w:rPr>
        <w:t xml:space="preserve">g. Housing, own stock new build and existing </w:t>
      </w:r>
    </w:p>
    <w:p w:rsidR="00DB5C45" w:rsidRPr="00B161AA" w:rsidRDefault="00DB5C45" w:rsidP="00DB5C45">
      <w:pPr>
        <w:pStyle w:val="Default"/>
        <w:numPr>
          <w:ilvl w:val="0"/>
          <w:numId w:val="45"/>
        </w:numPr>
        <w:rPr>
          <w:color w:val="auto"/>
        </w:rPr>
      </w:pPr>
      <w:r w:rsidRPr="00B161AA">
        <w:rPr>
          <w:color w:val="auto"/>
        </w:rPr>
        <w:t xml:space="preserve">Commissioning research </w:t>
      </w:r>
    </w:p>
    <w:p w:rsidR="00DB5C45" w:rsidRPr="00B161AA" w:rsidRDefault="00DB5C45" w:rsidP="00DB5C45">
      <w:pPr>
        <w:pStyle w:val="Default"/>
        <w:numPr>
          <w:ilvl w:val="0"/>
          <w:numId w:val="45"/>
        </w:numPr>
        <w:rPr>
          <w:color w:val="auto"/>
        </w:rPr>
      </w:pPr>
      <w:r w:rsidRPr="00B161AA">
        <w:rPr>
          <w:color w:val="auto"/>
        </w:rPr>
        <w:t xml:space="preserve">Liaison with key partners in Oxford – Universities </w:t>
      </w:r>
    </w:p>
    <w:p w:rsidR="00DB5C45" w:rsidRPr="00B161AA" w:rsidRDefault="00DB5C45" w:rsidP="00DB5C45">
      <w:pPr>
        <w:pStyle w:val="Default"/>
        <w:numPr>
          <w:ilvl w:val="0"/>
          <w:numId w:val="45"/>
        </w:numPr>
        <w:rPr>
          <w:color w:val="auto"/>
        </w:rPr>
      </w:pPr>
      <w:r w:rsidRPr="00B161AA">
        <w:rPr>
          <w:color w:val="auto"/>
        </w:rPr>
        <w:t xml:space="preserve">Liaison with internal departments within Oxford City Council </w:t>
      </w:r>
    </w:p>
    <w:p w:rsidR="00DB5C45" w:rsidRDefault="00DB5C45" w:rsidP="00DB5C45">
      <w:pPr>
        <w:pStyle w:val="Default"/>
        <w:numPr>
          <w:ilvl w:val="0"/>
          <w:numId w:val="45"/>
        </w:numPr>
        <w:rPr>
          <w:color w:val="auto"/>
        </w:rPr>
      </w:pPr>
      <w:r w:rsidRPr="00B161AA">
        <w:rPr>
          <w:color w:val="auto"/>
        </w:rPr>
        <w:t xml:space="preserve">Assembly reporting process </w:t>
      </w:r>
    </w:p>
    <w:p w:rsidR="00877CD1" w:rsidRPr="00877CD1" w:rsidRDefault="00877CD1" w:rsidP="00877CD1">
      <w:pPr>
        <w:pStyle w:val="Default"/>
        <w:numPr>
          <w:ilvl w:val="0"/>
          <w:numId w:val="45"/>
        </w:numPr>
        <w:adjustRightInd/>
        <w:rPr>
          <w:color w:val="auto"/>
        </w:rPr>
      </w:pPr>
      <w:r w:rsidRPr="00877CD1">
        <w:rPr>
          <w:color w:val="auto"/>
        </w:rPr>
        <w:t>Assembly hosting and independent facilitation</w:t>
      </w:r>
    </w:p>
    <w:p w:rsidR="00877CD1" w:rsidRPr="00877CD1" w:rsidRDefault="00877CD1" w:rsidP="00877CD1">
      <w:pPr>
        <w:pStyle w:val="Default"/>
        <w:numPr>
          <w:ilvl w:val="0"/>
          <w:numId w:val="45"/>
        </w:numPr>
        <w:adjustRightInd/>
        <w:rPr>
          <w:color w:val="auto"/>
        </w:rPr>
      </w:pPr>
      <w:r w:rsidRPr="00877CD1">
        <w:rPr>
          <w:color w:val="auto"/>
        </w:rPr>
        <w:t>Payments to Assembly participants in lieu of expenses incurred in attending the meetings – in line with best practice</w:t>
      </w:r>
    </w:p>
    <w:p w:rsidR="00877CD1" w:rsidRDefault="00877CD1" w:rsidP="00877CD1">
      <w:pPr>
        <w:rPr>
          <w:color w:val="1F497D"/>
        </w:rPr>
      </w:pPr>
    </w:p>
    <w:p w:rsidR="003450F2" w:rsidRPr="00B161AA" w:rsidRDefault="003450F2" w:rsidP="00DB5C45">
      <w:pPr>
        <w:pStyle w:val="ListParagraph"/>
        <w:numPr>
          <w:ilvl w:val="0"/>
          <w:numId w:val="0"/>
        </w:numPr>
        <w:tabs>
          <w:tab w:val="clear" w:pos="426"/>
        </w:tabs>
        <w:ind w:left="360"/>
        <w:rPr>
          <w:color w:val="auto"/>
        </w:rPr>
      </w:pPr>
      <w:r w:rsidRPr="00B161AA">
        <w:rPr>
          <w:color w:val="auto"/>
        </w:rPr>
        <w:lastRenderedPageBreak/>
        <w:t xml:space="preserve">The </w:t>
      </w:r>
      <w:r w:rsidR="00EF7982" w:rsidRPr="00B161AA">
        <w:rPr>
          <w:color w:val="auto"/>
        </w:rPr>
        <w:t>Cabinet</w:t>
      </w:r>
      <w:r w:rsidRPr="00B161AA">
        <w:rPr>
          <w:color w:val="auto"/>
        </w:rPr>
        <w:t xml:space="preserve"> is asked to review and agree the carry forward requests</w:t>
      </w:r>
      <w:r w:rsidR="00DB5C45" w:rsidRPr="00B161AA">
        <w:rPr>
          <w:color w:val="auto"/>
        </w:rPr>
        <w:t xml:space="preserve"> together with the additional spend on climate emergency as identified above.</w:t>
      </w:r>
    </w:p>
    <w:p w:rsidR="00FA385D" w:rsidRPr="006600DC" w:rsidRDefault="00C90060" w:rsidP="00D77751">
      <w:pPr>
        <w:pStyle w:val="ListParagraph"/>
        <w:tabs>
          <w:tab w:val="clear" w:pos="426"/>
        </w:tabs>
        <w:rPr>
          <w:color w:val="auto"/>
        </w:rPr>
      </w:pPr>
      <w:r w:rsidRPr="006600DC">
        <w:rPr>
          <w:color w:val="auto"/>
        </w:rPr>
        <w:t xml:space="preserve">Subject to </w:t>
      </w:r>
      <w:r w:rsidR="00EF7982">
        <w:rPr>
          <w:color w:val="auto"/>
        </w:rPr>
        <w:t>Cabinet</w:t>
      </w:r>
      <w:r w:rsidRPr="006600DC">
        <w:rPr>
          <w:color w:val="auto"/>
        </w:rPr>
        <w:t xml:space="preserve"> agreeing the recommended carry forwards</w:t>
      </w:r>
      <w:r w:rsidR="007C2E3C" w:rsidRPr="006600DC">
        <w:rPr>
          <w:color w:val="auto"/>
        </w:rPr>
        <w:t>,</w:t>
      </w:r>
      <w:r w:rsidRPr="006600DC">
        <w:rPr>
          <w:color w:val="auto"/>
        </w:rPr>
        <w:t xml:space="preserve"> </w:t>
      </w:r>
      <w:r w:rsidR="00980D6B" w:rsidRPr="006600DC">
        <w:rPr>
          <w:color w:val="auto"/>
        </w:rPr>
        <w:t xml:space="preserve">General Fund </w:t>
      </w:r>
      <w:r w:rsidR="00216AA4" w:rsidRPr="006600DC">
        <w:rPr>
          <w:color w:val="auto"/>
        </w:rPr>
        <w:t xml:space="preserve">Earmarked </w:t>
      </w:r>
      <w:r w:rsidR="00AB77E5" w:rsidRPr="006600DC">
        <w:rPr>
          <w:color w:val="auto"/>
        </w:rPr>
        <w:t>Reserves</w:t>
      </w:r>
      <w:r w:rsidR="00216AA4" w:rsidRPr="006600DC">
        <w:rPr>
          <w:color w:val="auto"/>
        </w:rPr>
        <w:t xml:space="preserve"> as at the 31</w:t>
      </w:r>
      <w:r w:rsidR="00216AA4" w:rsidRPr="006600DC">
        <w:rPr>
          <w:color w:val="auto"/>
          <w:vertAlign w:val="superscript"/>
        </w:rPr>
        <w:t>st</w:t>
      </w:r>
      <w:r w:rsidR="00980D6B" w:rsidRPr="006600DC">
        <w:rPr>
          <w:color w:val="auto"/>
        </w:rPr>
        <w:t xml:space="preserve"> March 2019</w:t>
      </w:r>
      <w:r w:rsidR="00216AA4" w:rsidRPr="006600DC">
        <w:rPr>
          <w:color w:val="auto"/>
        </w:rPr>
        <w:t xml:space="preserve"> </w:t>
      </w:r>
      <w:r w:rsidR="00AB77E5" w:rsidRPr="006600DC">
        <w:rPr>
          <w:color w:val="auto"/>
        </w:rPr>
        <w:t xml:space="preserve">would </w:t>
      </w:r>
      <w:r w:rsidR="00216AA4" w:rsidRPr="006600DC">
        <w:rPr>
          <w:color w:val="auto"/>
        </w:rPr>
        <w:t xml:space="preserve">stand at </w:t>
      </w:r>
      <w:r w:rsidR="00597100">
        <w:rPr>
          <w:color w:val="auto"/>
        </w:rPr>
        <w:t>£33.892</w:t>
      </w:r>
      <w:r w:rsidR="00D02009" w:rsidRPr="006600DC">
        <w:rPr>
          <w:color w:val="auto"/>
        </w:rPr>
        <w:t xml:space="preserve"> million</w:t>
      </w:r>
      <w:r w:rsidR="00216AA4" w:rsidRPr="006600DC">
        <w:rPr>
          <w:color w:val="auto"/>
        </w:rPr>
        <w:t>,</w:t>
      </w:r>
      <w:r w:rsidR="00A45DDB">
        <w:rPr>
          <w:color w:val="auto"/>
        </w:rPr>
        <w:t xml:space="preserve"> 23</w:t>
      </w:r>
      <w:r w:rsidR="00216AA4" w:rsidRPr="006600DC">
        <w:rPr>
          <w:color w:val="auto"/>
        </w:rPr>
        <w:t xml:space="preserve">% </w:t>
      </w:r>
      <w:r w:rsidR="000F3585" w:rsidRPr="006600DC">
        <w:rPr>
          <w:color w:val="auto"/>
        </w:rPr>
        <w:t xml:space="preserve">of which </w:t>
      </w:r>
      <w:r w:rsidR="00216AA4" w:rsidRPr="006600DC">
        <w:rPr>
          <w:color w:val="auto"/>
        </w:rPr>
        <w:t xml:space="preserve">relates to funding of the </w:t>
      </w:r>
      <w:r w:rsidR="00AB77E5" w:rsidRPr="006600DC">
        <w:rPr>
          <w:color w:val="auto"/>
        </w:rPr>
        <w:t>Capital</w:t>
      </w:r>
      <w:r w:rsidR="00216AA4" w:rsidRPr="006600DC">
        <w:rPr>
          <w:color w:val="auto"/>
        </w:rPr>
        <w:t xml:space="preserve"> </w:t>
      </w:r>
      <w:r w:rsidR="00AB77E5" w:rsidRPr="006600DC">
        <w:rPr>
          <w:color w:val="auto"/>
        </w:rPr>
        <w:t>Programme</w:t>
      </w:r>
      <w:r w:rsidR="00980D6B" w:rsidRPr="006600DC">
        <w:rPr>
          <w:color w:val="auto"/>
        </w:rPr>
        <w:t>,</w:t>
      </w:r>
      <w:r w:rsidR="00484780" w:rsidRPr="006600DC">
        <w:rPr>
          <w:color w:val="auto"/>
        </w:rPr>
        <w:t xml:space="preserve"> 1</w:t>
      </w:r>
      <w:r w:rsidR="00980D6B" w:rsidRPr="006600DC">
        <w:rPr>
          <w:color w:val="auto"/>
        </w:rPr>
        <w:t>5</w:t>
      </w:r>
      <w:r w:rsidR="00484780" w:rsidRPr="006600DC">
        <w:rPr>
          <w:color w:val="auto"/>
        </w:rPr>
        <w:t>% relates to Business Rates Retention reserve</w:t>
      </w:r>
      <w:r w:rsidR="00980D6B" w:rsidRPr="006600DC">
        <w:rPr>
          <w:color w:val="auto"/>
        </w:rPr>
        <w:t xml:space="preserve"> and 9% relates to Grants reserve.</w:t>
      </w:r>
    </w:p>
    <w:p w:rsidR="00FA385D" w:rsidRPr="006600DC" w:rsidRDefault="00FA385D" w:rsidP="00D77751">
      <w:pPr>
        <w:pStyle w:val="ListParagraph"/>
        <w:tabs>
          <w:tab w:val="clear" w:pos="426"/>
        </w:tabs>
        <w:rPr>
          <w:color w:val="auto"/>
        </w:rPr>
      </w:pPr>
      <w:r w:rsidRPr="006600DC">
        <w:rPr>
          <w:color w:val="auto"/>
        </w:rPr>
        <w:t xml:space="preserve">The most notable </w:t>
      </w:r>
      <w:r w:rsidR="00980D6B" w:rsidRPr="006600DC">
        <w:rPr>
          <w:color w:val="auto"/>
        </w:rPr>
        <w:t>net movement on</w:t>
      </w:r>
      <w:r w:rsidR="006F6DC5" w:rsidRPr="006600DC">
        <w:rPr>
          <w:color w:val="auto"/>
        </w:rPr>
        <w:t xml:space="preserve"> </w:t>
      </w:r>
      <w:r w:rsidRPr="006600DC">
        <w:rPr>
          <w:color w:val="auto"/>
        </w:rPr>
        <w:t xml:space="preserve">Earmarked Reserves </w:t>
      </w:r>
      <w:r w:rsidR="00216AA4" w:rsidRPr="006600DC">
        <w:rPr>
          <w:color w:val="auto"/>
        </w:rPr>
        <w:t xml:space="preserve">in year </w:t>
      </w:r>
      <w:r w:rsidR="00980D6B" w:rsidRPr="006600DC">
        <w:rPr>
          <w:color w:val="auto"/>
        </w:rPr>
        <w:t>are</w:t>
      </w:r>
      <w:r w:rsidRPr="006600DC">
        <w:rPr>
          <w:color w:val="auto"/>
        </w:rPr>
        <w:t>:</w:t>
      </w:r>
    </w:p>
    <w:p w:rsidR="00C45ECB" w:rsidRPr="006600DC" w:rsidRDefault="00980D6B" w:rsidP="00FA385D">
      <w:pPr>
        <w:pStyle w:val="ListParagraph"/>
        <w:numPr>
          <w:ilvl w:val="0"/>
          <w:numId w:val="33"/>
        </w:numPr>
        <w:tabs>
          <w:tab w:val="clear" w:pos="426"/>
        </w:tabs>
        <w:rPr>
          <w:color w:val="auto"/>
        </w:rPr>
      </w:pPr>
      <w:r w:rsidRPr="006600DC">
        <w:rPr>
          <w:color w:val="auto"/>
        </w:rPr>
        <w:t>Capital Financing reserve – £0</w:t>
      </w:r>
      <w:r w:rsidR="00FA385D" w:rsidRPr="006600DC">
        <w:rPr>
          <w:color w:val="auto"/>
        </w:rPr>
        <w:t>.</w:t>
      </w:r>
      <w:r w:rsidR="005E7AF6">
        <w:rPr>
          <w:color w:val="auto"/>
        </w:rPr>
        <w:t>902</w:t>
      </w:r>
      <w:r w:rsidR="00FA385D" w:rsidRPr="006600DC">
        <w:rPr>
          <w:color w:val="auto"/>
        </w:rPr>
        <w:t xml:space="preserve"> million </w:t>
      </w:r>
      <w:r w:rsidR="006600DC" w:rsidRPr="006600DC">
        <w:rPr>
          <w:color w:val="auto"/>
        </w:rPr>
        <w:t xml:space="preserve">net release from this reserve </w:t>
      </w:r>
      <w:r w:rsidRPr="006600DC">
        <w:rPr>
          <w:color w:val="auto"/>
        </w:rPr>
        <w:t>to fund the capital expenditure in year;</w:t>
      </w:r>
    </w:p>
    <w:p w:rsidR="00980D6B" w:rsidRPr="006600DC" w:rsidRDefault="00980D6B" w:rsidP="00FA385D">
      <w:pPr>
        <w:pStyle w:val="ListParagraph"/>
        <w:numPr>
          <w:ilvl w:val="0"/>
          <w:numId w:val="33"/>
        </w:numPr>
        <w:tabs>
          <w:tab w:val="clear" w:pos="426"/>
        </w:tabs>
        <w:rPr>
          <w:color w:val="auto"/>
        </w:rPr>
      </w:pPr>
      <w:r w:rsidRPr="006600DC">
        <w:rPr>
          <w:color w:val="auto"/>
        </w:rPr>
        <w:t>Grants reserve – £0.</w:t>
      </w:r>
      <w:r w:rsidR="005E7AF6">
        <w:rPr>
          <w:color w:val="auto"/>
        </w:rPr>
        <w:t>681</w:t>
      </w:r>
      <w:r w:rsidRPr="006600DC">
        <w:rPr>
          <w:color w:val="auto"/>
        </w:rPr>
        <w:t xml:space="preserve"> million</w:t>
      </w:r>
      <w:r w:rsidR="006600DC" w:rsidRPr="006600DC">
        <w:rPr>
          <w:color w:val="auto"/>
        </w:rPr>
        <w:t xml:space="preserve"> net </w:t>
      </w:r>
      <w:r w:rsidR="005E7AF6">
        <w:rPr>
          <w:color w:val="auto"/>
        </w:rPr>
        <w:t xml:space="preserve">increase </w:t>
      </w:r>
      <w:r w:rsidR="006600DC" w:rsidRPr="006600DC">
        <w:rPr>
          <w:color w:val="auto"/>
        </w:rPr>
        <w:t>for grants received in previous years for which expenditure has incurred in year;</w:t>
      </w:r>
    </w:p>
    <w:p w:rsidR="00980D6B" w:rsidRDefault="00980D6B" w:rsidP="00FA385D">
      <w:pPr>
        <w:pStyle w:val="ListParagraph"/>
        <w:numPr>
          <w:ilvl w:val="0"/>
          <w:numId w:val="33"/>
        </w:numPr>
        <w:tabs>
          <w:tab w:val="clear" w:pos="426"/>
        </w:tabs>
        <w:rPr>
          <w:color w:val="auto"/>
        </w:rPr>
      </w:pPr>
      <w:r w:rsidRPr="006600DC">
        <w:rPr>
          <w:color w:val="auto"/>
        </w:rPr>
        <w:t>IT Infrastructure reserve –£0.6</w:t>
      </w:r>
      <w:r w:rsidR="00690696">
        <w:rPr>
          <w:color w:val="auto"/>
        </w:rPr>
        <w:t>54</w:t>
      </w:r>
      <w:r w:rsidRPr="006600DC">
        <w:rPr>
          <w:color w:val="auto"/>
        </w:rPr>
        <w:t xml:space="preserve"> million</w:t>
      </w:r>
      <w:r w:rsidR="006600DC" w:rsidRPr="006600DC">
        <w:rPr>
          <w:color w:val="auto"/>
        </w:rPr>
        <w:t xml:space="preserve"> net release from this reserve to fund in year ICT Infrastructure expenditure.</w:t>
      </w:r>
    </w:p>
    <w:p w:rsidR="00AF0443" w:rsidRDefault="00AF0443" w:rsidP="00FA385D">
      <w:pPr>
        <w:pStyle w:val="ListParagraph"/>
        <w:numPr>
          <w:ilvl w:val="0"/>
          <w:numId w:val="33"/>
        </w:numPr>
        <w:tabs>
          <w:tab w:val="clear" w:pos="426"/>
        </w:tabs>
        <w:rPr>
          <w:color w:val="auto"/>
        </w:rPr>
      </w:pPr>
      <w:r>
        <w:rPr>
          <w:color w:val="auto"/>
        </w:rPr>
        <w:t xml:space="preserve">Business Transformation Project – £0.400 million additional </w:t>
      </w:r>
      <w:r w:rsidR="00597100">
        <w:rPr>
          <w:color w:val="auto"/>
        </w:rPr>
        <w:t>funding</w:t>
      </w:r>
      <w:r>
        <w:rPr>
          <w:color w:val="auto"/>
        </w:rPr>
        <w:t xml:space="preserve"> has been added to this reserve to enable transformation projects to develop in the future.</w:t>
      </w:r>
    </w:p>
    <w:p w:rsidR="005E7AF6" w:rsidRPr="006600DC" w:rsidRDefault="00690696" w:rsidP="00FA385D">
      <w:pPr>
        <w:pStyle w:val="ListParagraph"/>
        <w:numPr>
          <w:ilvl w:val="0"/>
          <w:numId w:val="33"/>
        </w:numPr>
        <w:tabs>
          <w:tab w:val="clear" w:pos="426"/>
        </w:tabs>
        <w:rPr>
          <w:color w:val="auto"/>
        </w:rPr>
      </w:pPr>
      <w:r>
        <w:rPr>
          <w:color w:val="auto"/>
        </w:rPr>
        <w:t>Vehicle purchase reser</w:t>
      </w:r>
      <w:r w:rsidR="005E7AF6">
        <w:rPr>
          <w:color w:val="auto"/>
        </w:rPr>
        <w:t xml:space="preserve">ve </w:t>
      </w:r>
      <w:r>
        <w:rPr>
          <w:color w:val="auto"/>
        </w:rPr>
        <w:t>– net increase of £800k</w:t>
      </w:r>
    </w:p>
    <w:p w:rsidR="00FA385D" w:rsidRPr="00FA33B1" w:rsidRDefault="00FA385D" w:rsidP="00FA385D">
      <w:pPr>
        <w:pStyle w:val="ListParagraph"/>
        <w:numPr>
          <w:ilvl w:val="0"/>
          <w:numId w:val="0"/>
        </w:numPr>
        <w:tabs>
          <w:tab w:val="clear" w:pos="426"/>
        </w:tabs>
        <w:ind w:left="426" w:hanging="426"/>
        <w:rPr>
          <w:color w:val="FF0000"/>
        </w:rPr>
      </w:pPr>
    </w:p>
    <w:p w:rsidR="00FA385D" w:rsidRPr="008679B6" w:rsidRDefault="00FA385D" w:rsidP="00FA385D">
      <w:pPr>
        <w:pStyle w:val="ListParagraph"/>
        <w:numPr>
          <w:ilvl w:val="0"/>
          <w:numId w:val="0"/>
        </w:numPr>
        <w:tabs>
          <w:tab w:val="clear" w:pos="426"/>
        </w:tabs>
        <w:ind w:left="426" w:hanging="426"/>
        <w:rPr>
          <w:b/>
          <w:color w:val="auto"/>
        </w:rPr>
      </w:pPr>
      <w:r w:rsidRPr="008679B6">
        <w:rPr>
          <w:b/>
          <w:color w:val="auto"/>
        </w:rPr>
        <w:t xml:space="preserve">General Fund </w:t>
      </w:r>
      <w:r w:rsidR="00E44A0A">
        <w:rPr>
          <w:b/>
          <w:color w:val="auto"/>
        </w:rPr>
        <w:t>Variations</w:t>
      </w:r>
    </w:p>
    <w:p w:rsidR="009B6D80" w:rsidRPr="008679B6" w:rsidRDefault="00CC2459" w:rsidP="00E96D58">
      <w:pPr>
        <w:pStyle w:val="ListParagraph"/>
        <w:tabs>
          <w:tab w:val="clear" w:pos="426"/>
        </w:tabs>
        <w:rPr>
          <w:color w:val="auto"/>
        </w:rPr>
      </w:pPr>
      <w:r w:rsidRPr="008679B6">
        <w:rPr>
          <w:color w:val="auto"/>
        </w:rPr>
        <w:t xml:space="preserve">At </w:t>
      </w:r>
      <w:r w:rsidR="00763052" w:rsidRPr="008679B6">
        <w:rPr>
          <w:color w:val="auto"/>
        </w:rPr>
        <w:t xml:space="preserve">the year end </w:t>
      </w:r>
      <w:r w:rsidRPr="008679B6">
        <w:rPr>
          <w:color w:val="auto"/>
        </w:rPr>
        <w:t>t</w:t>
      </w:r>
      <w:r w:rsidR="006C483B" w:rsidRPr="008679B6">
        <w:rPr>
          <w:color w:val="auto"/>
        </w:rPr>
        <w:t xml:space="preserve">he General Fund </w:t>
      </w:r>
      <w:r w:rsidR="00763052" w:rsidRPr="008679B6">
        <w:rPr>
          <w:color w:val="auto"/>
        </w:rPr>
        <w:t xml:space="preserve">service areas </w:t>
      </w:r>
      <w:r w:rsidR="00E44A0A">
        <w:rPr>
          <w:color w:val="auto"/>
        </w:rPr>
        <w:t xml:space="preserve">spend </w:t>
      </w:r>
      <w:r w:rsidR="00763052" w:rsidRPr="008679B6">
        <w:rPr>
          <w:color w:val="auto"/>
        </w:rPr>
        <w:t>show</w:t>
      </w:r>
      <w:r w:rsidR="00160BAB" w:rsidRPr="008679B6">
        <w:rPr>
          <w:color w:val="auto"/>
        </w:rPr>
        <w:t>ed</w:t>
      </w:r>
      <w:r w:rsidR="008679B6" w:rsidRPr="008679B6">
        <w:rPr>
          <w:color w:val="auto"/>
        </w:rPr>
        <w:t xml:space="preserve"> an adverse </w:t>
      </w:r>
      <w:r w:rsidR="00763052" w:rsidRPr="008679B6">
        <w:rPr>
          <w:color w:val="auto"/>
        </w:rPr>
        <w:t>variance of £</w:t>
      </w:r>
      <w:r w:rsidR="00AF0443">
        <w:rPr>
          <w:color w:val="auto"/>
        </w:rPr>
        <w:t>0.583</w:t>
      </w:r>
      <w:r w:rsidR="00763052" w:rsidRPr="008679B6">
        <w:rPr>
          <w:color w:val="auto"/>
        </w:rPr>
        <w:t xml:space="preserve"> million</w:t>
      </w:r>
      <w:r w:rsidR="00F07707">
        <w:rPr>
          <w:color w:val="auto"/>
        </w:rPr>
        <w:t xml:space="preserve">, </w:t>
      </w:r>
      <w:r w:rsidR="000F3585" w:rsidRPr="008679B6">
        <w:rPr>
          <w:color w:val="auto"/>
        </w:rPr>
        <w:t>£0.</w:t>
      </w:r>
      <w:r w:rsidR="00F07707">
        <w:rPr>
          <w:color w:val="auto"/>
        </w:rPr>
        <w:t>667</w:t>
      </w:r>
      <w:r w:rsidR="000F3585" w:rsidRPr="008679B6">
        <w:rPr>
          <w:color w:val="auto"/>
        </w:rPr>
        <w:t xml:space="preserve"> million after carry forward requests</w:t>
      </w:r>
      <w:r w:rsidR="00E141C6" w:rsidRPr="008679B6">
        <w:rPr>
          <w:color w:val="auto"/>
        </w:rPr>
        <w:t>.  The</w:t>
      </w:r>
      <w:r w:rsidR="00216AA4" w:rsidRPr="008679B6">
        <w:rPr>
          <w:color w:val="auto"/>
        </w:rPr>
        <w:t xml:space="preserve"> most significant of these variances </w:t>
      </w:r>
      <w:r w:rsidR="00E141C6" w:rsidRPr="008679B6">
        <w:rPr>
          <w:color w:val="auto"/>
        </w:rPr>
        <w:t xml:space="preserve"> are </w:t>
      </w:r>
      <w:r w:rsidR="00763052" w:rsidRPr="008679B6">
        <w:rPr>
          <w:color w:val="auto"/>
        </w:rPr>
        <w:t>explained below:</w:t>
      </w:r>
    </w:p>
    <w:p w:rsidR="00763052" w:rsidRPr="00FA33B1" w:rsidRDefault="00763052" w:rsidP="00763052">
      <w:pPr>
        <w:spacing w:after="0"/>
        <w:rPr>
          <w:rFonts w:cs="Arial"/>
          <w:color w:val="FF0000"/>
        </w:rPr>
      </w:pPr>
    </w:p>
    <w:p w:rsidR="00763052" w:rsidRDefault="00ED1971" w:rsidP="007F4328">
      <w:pPr>
        <w:pStyle w:val="ListParagraph"/>
        <w:numPr>
          <w:ilvl w:val="0"/>
          <w:numId w:val="34"/>
        </w:numPr>
        <w:tabs>
          <w:tab w:val="clear" w:pos="426"/>
        </w:tabs>
        <w:spacing w:after="0" w:line="276" w:lineRule="auto"/>
        <w:contextualSpacing/>
        <w:rPr>
          <w:rFonts w:cs="Arial"/>
          <w:color w:val="auto"/>
        </w:rPr>
      </w:pPr>
      <w:r w:rsidRPr="00ED1971">
        <w:rPr>
          <w:rFonts w:cs="Arial"/>
          <w:b/>
          <w:color w:val="auto"/>
        </w:rPr>
        <w:t>Assistant Chief Executive</w:t>
      </w:r>
      <w:r w:rsidR="00763052" w:rsidRPr="00ED1971">
        <w:rPr>
          <w:rFonts w:cs="Arial"/>
          <w:color w:val="auto"/>
        </w:rPr>
        <w:t xml:space="preserve"> – year </w:t>
      </w:r>
      <w:r w:rsidR="00E96D58" w:rsidRPr="00ED1971">
        <w:rPr>
          <w:rFonts w:cs="Arial"/>
          <w:color w:val="auto"/>
        </w:rPr>
        <w:t xml:space="preserve">end </w:t>
      </w:r>
      <w:r w:rsidRPr="00ED1971">
        <w:rPr>
          <w:rFonts w:cs="Arial"/>
          <w:color w:val="auto"/>
        </w:rPr>
        <w:t>favourable</w:t>
      </w:r>
      <w:r w:rsidR="00E96D58" w:rsidRPr="00ED1971">
        <w:rPr>
          <w:rFonts w:cs="Arial"/>
          <w:color w:val="auto"/>
        </w:rPr>
        <w:t xml:space="preserve"> variance of £0.</w:t>
      </w:r>
      <w:r w:rsidR="001318CF">
        <w:rPr>
          <w:rFonts w:cs="Arial"/>
          <w:color w:val="auto"/>
        </w:rPr>
        <w:t>064</w:t>
      </w:r>
      <w:r w:rsidRPr="00ED1971">
        <w:rPr>
          <w:rFonts w:cs="Arial"/>
          <w:color w:val="auto"/>
        </w:rPr>
        <w:t xml:space="preserve"> </w:t>
      </w:r>
      <w:r w:rsidR="00763052" w:rsidRPr="00ED1971">
        <w:rPr>
          <w:rFonts w:cs="Arial"/>
          <w:color w:val="auto"/>
        </w:rPr>
        <w:t>million, due to</w:t>
      </w:r>
      <w:r w:rsidR="00170D87" w:rsidRPr="00ED1971">
        <w:rPr>
          <w:rFonts w:cs="Arial"/>
          <w:color w:val="auto"/>
        </w:rPr>
        <w:t xml:space="preserve"> </w:t>
      </w:r>
      <w:r w:rsidRPr="00ED1971">
        <w:rPr>
          <w:rFonts w:cs="Arial"/>
          <w:color w:val="auto"/>
        </w:rPr>
        <w:t>recharging salary costs to the Growth Board offset by some additional expenditure on consu</w:t>
      </w:r>
      <w:r w:rsidR="001318CF">
        <w:rPr>
          <w:rFonts w:cs="Arial"/>
          <w:color w:val="auto"/>
        </w:rPr>
        <w:t>ltation portals.  C</w:t>
      </w:r>
      <w:r w:rsidRPr="00ED1971">
        <w:rPr>
          <w:rFonts w:cs="Arial"/>
          <w:color w:val="auto"/>
        </w:rPr>
        <w:t>arry forward request</w:t>
      </w:r>
      <w:r w:rsidR="001318CF">
        <w:rPr>
          <w:rFonts w:cs="Arial"/>
          <w:color w:val="auto"/>
        </w:rPr>
        <w:t>s</w:t>
      </w:r>
      <w:r w:rsidRPr="00ED1971">
        <w:rPr>
          <w:rFonts w:cs="Arial"/>
          <w:color w:val="auto"/>
        </w:rPr>
        <w:t xml:space="preserve"> for £</w:t>
      </w:r>
      <w:r w:rsidR="00702A18">
        <w:rPr>
          <w:rFonts w:cs="Arial"/>
          <w:color w:val="auto"/>
        </w:rPr>
        <w:t>0.00</w:t>
      </w:r>
      <w:r w:rsidRPr="00ED1971">
        <w:rPr>
          <w:rFonts w:cs="Arial"/>
          <w:color w:val="auto"/>
        </w:rPr>
        <w:t>8</w:t>
      </w:r>
      <w:r w:rsidR="00702A18">
        <w:rPr>
          <w:rFonts w:cs="Arial"/>
          <w:color w:val="auto"/>
        </w:rPr>
        <w:t xml:space="preserve"> million</w:t>
      </w:r>
      <w:r w:rsidRPr="00ED1971">
        <w:rPr>
          <w:rFonts w:cs="Arial"/>
          <w:color w:val="auto"/>
        </w:rPr>
        <w:t xml:space="preserve"> for the unspent branding budget</w:t>
      </w:r>
      <w:r w:rsidR="001318CF">
        <w:rPr>
          <w:rFonts w:cs="Arial"/>
          <w:color w:val="auto"/>
        </w:rPr>
        <w:t xml:space="preserve"> and £</w:t>
      </w:r>
      <w:r w:rsidR="00702A18">
        <w:rPr>
          <w:rFonts w:cs="Arial"/>
          <w:color w:val="auto"/>
        </w:rPr>
        <w:t>0.0</w:t>
      </w:r>
      <w:r w:rsidR="001318CF">
        <w:rPr>
          <w:rFonts w:cs="Arial"/>
          <w:color w:val="auto"/>
        </w:rPr>
        <w:t>16</w:t>
      </w:r>
      <w:r w:rsidR="00702A18">
        <w:rPr>
          <w:rFonts w:cs="Arial"/>
          <w:color w:val="auto"/>
        </w:rPr>
        <w:t xml:space="preserve"> million</w:t>
      </w:r>
      <w:r w:rsidR="001318CF">
        <w:rPr>
          <w:rFonts w:cs="Arial"/>
          <w:color w:val="auto"/>
        </w:rPr>
        <w:t xml:space="preserve"> for </w:t>
      </w:r>
      <w:r w:rsidR="000E6150">
        <w:rPr>
          <w:rFonts w:cs="Arial"/>
          <w:color w:val="auto"/>
        </w:rPr>
        <w:t>Covered Market lanterns</w:t>
      </w:r>
      <w:r w:rsidR="001318CF">
        <w:rPr>
          <w:rFonts w:cs="Arial"/>
          <w:color w:val="auto"/>
        </w:rPr>
        <w:t xml:space="preserve"> have been submitted</w:t>
      </w:r>
      <w:r w:rsidR="00D44947" w:rsidRPr="00ED1971">
        <w:rPr>
          <w:rFonts w:cs="Arial"/>
          <w:color w:val="auto"/>
        </w:rPr>
        <w:t>;</w:t>
      </w:r>
    </w:p>
    <w:p w:rsidR="00ED1971" w:rsidRDefault="00ED1971" w:rsidP="00ED1971">
      <w:pPr>
        <w:pStyle w:val="ListParagraph"/>
        <w:numPr>
          <w:ilvl w:val="0"/>
          <w:numId w:val="0"/>
        </w:numPr>
        <w:tabs>
          <w:tab w:val="clear" w:pos="426"/>
        </w:tabs>
        <w:spacing w:after="0" w:line="276" w:lineRule="auto"/>
        <w:ind w:left="720"/>
        <w:contextualSpacing/>
        <w:rPr>
          <w:rFonts w:cs="Arial"/>
          <w:color w:val="auto"/>
        </w:rPr>
      </w:pPr>
    </w:p>
    <w:p w:rsidR="00ED1971" w:rsidRPr="006C3440" w:rsidRDefault="00ED1971" w:rsidP="007F4328">
      <w:pPr>
        <w:pStyle w:val="ListParagraph"/>
        <w:numPr>
          <w:ilvl w:val="0"/>
          <w:numId w:val="34"/>
        </w:numPr>
        <w:tabs>
          <w:tab w:val="clear" w:pos="426"/>
        </w:tabs>
        <w:spacing w:after="0" w:line="276" w:lineRule="auto"/>
        <w:contextualSpacing/>
        <w:rPr>
          <w:rFonts w:cs="Arial"/>
          <w:color w:val="auto"/>
        </w:rPr>
      </w:pPr>
      <w:r w:rsidRPr="006C3440">
        <w:rPr>
          <w:rFonts w:cs="Arial"/>
          <w:b/>
          <w:color w:val="auto"/>
        </w:rPr>
        <w:t xml:space="preserve">Housing Services </w:t>
      </w:r>
      <w:r w:rsidRPr="006C3440">
        <w:rPr>
          <w:rFonts w:cs="Arial"/>
          <w:color w:val="auto"/>
        </w:rPr>
        <w:t xml:space="preserve">– year end adverse variance of £0.106 million, </w:t>
      </w:r>
      <w:r w:rsidR="006C3440" w:rsidRPr="006C3440">
        <w:rPr>
          <w:rFonts w:cs="Arial"/>
          <w:color w:val="auto"/>
        </w:rPr>
        <w:t>due to pressures on garage rental income and the home choice scheme;</w:t>
      </w:r>
    </w:p>
    <w:p w:rsidR="00484780" w:rsidRPr="006C3440" w:rsidRDefault="00484780" w:rsidP="00484780">
      <w:pPr>
        <w:pStyle w:val="ListParagraph"/>
        <w:numPr>
          <w:ilvl w:val="0"/>
          <w:numId w:val="0"/>
        </w:numPr>
        <w:tabs>
          <w:tab w:val="clear" w:pos="426"/>
        </w:tabs>
        <w:spacing w:after="0" w:line="276" w:lineRule="auto"/>
        <w:ind w:left="720"/>
        <w:contextualSpacing/>
        <w:rPr>
          <w:rFonts w:cs="Arial"/>
          <w:color w:val="auto"/>
        </w:rPr>
      </w:pPr>
    </w:p>
    <w:p w:rsidR="00763052" w:rsidRDefault="00484780" w:rsidP="00763052">
      <w:pPr>
        <w:pStyle w:val="ListParagraph"/>
        <w:numPr>
          <w:ilvl w:val="0"/>
          <w:numId w:val="34"/>
        </w:numPr>
        <w:tabs>
          <w:tab w:val="clear" w:pos="426"/>
        </w:tabs>
        <w:spacing w:after="0" w:line="276" w:lineRule="auto"/>
        <w:contextualSpacing/>
        <w:rPr>
          <w:rFonts w:cs="Arial"/>
          <w:color w:val="auto"/>
        </w:rPr>
      </w:pPr>
      <w:r w:rsidRPr="006C3440">
        <w:rPr>
          <w:rFonts w:cs="Arial"/>
          <w:b/>
          <w:color w:val="auto"/>
        </w:rPr>
        <w:t xml:space="preserve">Regeneration and Economy </w:t>
      </w:r>
      <w:r w:rsidRPr="006C3440">
        <w:rPr>
          <w:rFonts w:cs="Arial"/>
          <w:color w:val="auto"/>
        </w:rPr>
        <w:t>– year end favourable var</w:t>
      </w:r>
      <w:r w:rsidR="005B57F2" w:rsidRPr="006C3440">
        <w:rPr>
          <w:rFonts w:cs="Arial"/>
          <w:color w:val="auto"/>
        </w:rPr>
        <w:t>iance of £0.5</w:t>
      </w:r>
      <w:r w:rsidR="006C3440" w:rsidRPr="006C3440">
        <w:rPr>
          <w:rFonts w:cs="Arial"/>
          <w:color w:val="auto"/>
        </w:rPr>
        <w:t>32</w:t>
      </w:r>
      <w:r w:rsidR="005B57F2" w:rsidRPr="006C3440">
        <w:rPr>
          <w:rFonts w:cs="Arial"/>
          <w:color w:val="auto"/>
        </w:rPr>
        <w:t xml:space="preserve"> million,</w:t>
      </w:r>
      <w:r w:rsidR="006C3440" w:rsidRPr="006C3440">
        <w:rPr>
          <w:rFonts w:cs="Arial"/>
          <w:color w:val="auto"/>
        </w:rPr>
        <w:t xml:space="preserve"> due to additional commercial property income relating to two large payments being received in Q4 for the surrender of leases and dilapidations;  </w:t>
      </w:r>
      <w:r w:rsidR="005B57F2" w:rsidRPr="006C3440">
        <w:rPr>
          <w:rFonts w:cs="Arial"/>
          <w:color w:val="auto"/>
        </w:rPr>
        <w:t xml:space="preserve">  </w:t>
      </w:r>
    </w:p>
    <w:p w:rsidR="006C3440" w:rsidRPr="006C3440" w:rsidRDefault="006C3440" w:rsidP="00761E43">
      <w:pPr>
        <w:pStyle w:val="ListParagraph"/>
        <w:numPr>
          <w:ilvl w:val="0"/>
          <w:numId w:val="0"/>
        </w:numPr>
        <w:ind w:left="426"/>
        <w:rPr>
          <w:rFonts w:cs="Arial"/>
          <w:color w:val="auto"/>
        </w:rPr>
      </w:pPr>
    </w:p>
    <w:p w:rsidR="006C3440" w:rsidRPr="0093437E" w:rsidRDefault="006C3440" w:rsidP="00763052">
      <w:pPr>
        <w:pStyle w:val="ListParagraph"/>
        <w:numPr>
          <w:ilvl w:val="0"/>
          <w:numId w:val="34"/>
        </w:numPr>
        <w:tabs>
          <w:tab w:val="clear" w:pos="426"/>
        </w:tabs>
        <w:spacing w:after="0" w:line="276" w:lineRule="auto"/>
        <w:contextualSpacing/>
        <w:rPr>
          <w:rFonts w:cs="Arial"/>
          <w:color w:val="auto"/>
        </w:rPr>
      </w:pPr>
      <w:r w:rsidRPr="0093437E">
        <w:rPr>
          <w:rFonts w:cs="Arial"/>
          <w:b/>
          <w:color w:val="auto"/>
        </w:rPr>
        <w:t>Planning, Sustainable Development &amp;</w:t>
      </w:r>
      <w:r>
        <w:rPr>
          <w:rFonts w:cs="Arial"/>
          <w:color w:val="auto"/>
        </w:rPr>
        <w:t xml:space="preserve"> </w:t>
      </w:r>
      <w:r w:rsidRPr="004560CC">
        <w:rPr>
          <w:rFonts w:cs="Arial"/>
          <w:b/>
          <w:color w:val="auto"/>
        </w:rPr>
        <w:t>Regulatory</w:t>
      </w:r>
      <w:r w:rsidR="0093437E">
        <w:rPr>
          <w:rFonts w:cs="Arial"/>
          <w:color w:val="auto"/>
        </w:rPr>
        <w:t xml:space="preserve"> – year end adve</w:t>
      </w:r>
      <w:r w:rsidR="00EF7982">
        <w:rPr>
          <w:rFonts w:cs="Arial"/>
          <w:color w:val="auto"/>
        </w:rPr>
        <w:t>rse variance of £0.595 million</w:t>
      </w:r>
      <w:r w:rsidR="0093437E">
        <w:rPr>
          <w:rFonts w:cs="Arial"/>
          <w:color w:val="auto"/>
        </w:rPr>
        <w:t xml:space="preserve">, </w:t>
      </w:r>
      <w:r w:rsidR="00930B99">
        <w:rPr>
          <w:rFonts w:cs="Arial"/>
          <w:color w:val="auto"/>
        </w:rPr>
        <w:t>£0.357 million is due to the net expenditure on South Oxford Science Village</w:t>
      </w:r>
      <w:r w:rsidR="0035702E">
        <w:rPr>
          <w:rFonts w:cs="Arial"/>
          <w:color w:val="auto"/>
        </w:rPr>
        <w:t>, which is Oxford City Council’s share</w:t>
      </w:r>
      <w:r w:rsidR="00690696">
        <w:rPr>
          <w:rFonts w:cs="Arial"/>
          <w:color w:val="auto"/>
        </w:rPr>
        <w:t xml:space="preserve"> </w:t>
      </w:r>
      <w:r w:rsidR="0035702E">
        <w:rPr>
          <w:rFonts w:cs="Arial"/>
          <w:color w:val="auto"/>
        </w:rPr>
        <w:t>of the project</w:t>
      </w:r>
      <w:r w:rsidR="00EB34DB">
        <w:rPr>
          <w:rFonts w:cs="Arial"/>
          <w:color w:val="auto"/>
        </w:rPr>
        <w:t xml:space="preserve"> costs to date</w:t>
      </w:r>
      <w:r w:rsidR="00930B99">
        <w:rPr>
          <w:rFonts w:cs="Arial"/>
          <w:color w:val="auto"/>
        </w:rPr>
        <w:t>; £0.160 million due to Building Control additional spend on agency staff and £0.042 million to create a financial penalties reserve .  T</w:t>
      </w:r>
      <w:r w:rsidR="0093437E">
        <w:rPr>
          <w:rFonts w:cs="Arial"/>
          <w:color w:val="auto"/>
        </w:rPr>
        <w:t xml:space="preserve">here is also a </w:t>
      </w:r>
      <w:r w:rsidR="0093437E">
        <w:rPr>
          <w:rFonts w:cs="Arial"/>
          <w:color w:val="auto"/>
        </w:rPr>
        <w:lastRenderedPageBreak/>
        <w:t>request for a carry forward of £</w:t>
      </w:r>
      <w:r w:rsidR="00702A18">
        <w:rPr>
          <w:rFonts w:cs="Arial"/>
          <w:color w:val="auto"/>
        </w:rPr>
        <w:t>0.00</w:t>
      </w:r>
      <w:r w:rsidR="0093437E">
        <w:rPr>
          <w:rFonts w:cs="Arial"/>
          <w:color w:val="auto"/>
        </w:rPr>
        <w:t>9</w:t>
      </w:r>
      <w:r w:rsidR="00702A18">
        <w:rPr>
          <w:rFonts w:cs="Arial"/>
          <w:color w:val="auto"/>
        </w:rPr>
        <w:t xml:space="preserve"> million</w:t>
      </w:r>
      <w:r w:rsidR="0093437E">
        <w:rPr>
          <w:rFonts w:cs="Arial"/>
          <w:color w:val="auto"/>
        </w:rPr>
        <w:t xml:space="preserve"> which relates to a slipped scheme for funding an Ecology post within the team;</w:t>
      </w:r>
    </w:p>
    <w:p w:rsidR="00763052" w:rsidRPr="0093437E" w:rsidRDefault="00763052" w:rsidP="00763052">
      <w:pPr>
        <w:spacing w:after="0"/>
        <w:rPr>
          <w:rFonts w:cs="Arial"/>
          <w:color w:val="auto"/>
        </w:rPr>
      </w:pPr>
    </w:p>
    <w:p w:rsidR="003D1D47" w:rsidRPr="0093437E" w:rsidRDefault="00763052" w:rsidP="003D1D47">
      <w:pPr>
        <w:pStyle w:val="ListParagraph"/>
        <w:numPr>
          <w:ilvl w:val="0"/>
          <w:numId w:val="34"/>
        </w:numPr>
        <w:tabs>
          <w:tab w:val="clear" w:pos="426"/>
        </w:tabs>
        <w:spacing w:after="0" w:line="276" w:lineRule="auto"/>
        <w:contextualSpacing/>
        <w:rPr>
          <w:rFonts w:cs="Arial"/>
          <w:color w:val="auto"/>
        </w:rPr>
      </w:pPr>
      <w:r w:rsidRPr="0093437E">
        <w:rPr>
          <w:rFonts w:cs="Arial"/>
          <w:b/>
          <w:color w:val="auto"/>
        </w:rPr>
        <w:t>Direct Services</w:t>
      </w:r>
      <w:r w:rsidRPr="0093437E">
        <w:rPr>
          <w:rFonts w:cs="Arial"/>
          <w:color w:val="auto"/>
        </w:rPr>
        <w:t xml:space="preserve"> </w:t>
      </w:r>
      <w:r w:rsidR="0093437E" w:rsidRPr="0093437E">
        <w:rPr>
          <w:rFonts w:cs="Arial"/>
          <w:b/>
          <w:color w:val="auto"/>
        </w:rPr>
        <w:t>Client</w:t>
      </w:r>
      <w:r w:rsidR="0093437E" w:rsidRPr="0093437E">
        <w:rPr>
          <w:rFonts w:cs="Arial"/>
          <w:color w:val="auto"/>
        </w:rPr>
        <w:t xml:space="preserve"> </w:t>
      </w:r>
      <w:r w:rsidRPr="0093437E">
        <w:rPr>
          <w:rFonts w:cs="Arial"/>
          <w:color w:val="auto"/>
        </w:rPr>
        <w:t>–</w:t>
      </w:r>
      <w:r w:rsidR="00EB34DB">
        <w:rPr>
          <w:rFonts w:cs="Arial"/>
          <w:color w:val="auto"/>
        </w:rPr>
        <w:t xml:space="preserve">year end variance of £0.621 million which largely relates to reduced income from </w:t>
      </w:r>
      <w:r w:rsidR="0093437E" w:rsidRPr="0093437E">
        <w:rPr>
          <w:rFonts w:cs="Arial"/>
          <w:color w:val="auto"/>
        </w:rPr>
        <w:t xml:space="preserve">car parking income at </w:t>
      </w:r>
      <w:proofErr w:type="spellStart"/>
      <w:r w:rsidR="0093437E" w:rsidRPr="0093437E">
        <w:rPr>
          <w:rFonts w:cs="Arial"/>
          <w:color w:val="auto"/>
        </w:rPr>
        <w:t>Oxpens</w:t>
      </w:r>
      <w:proofErr w:type="spellEnd"/>
      <w:r w:rsidR="0093437E" w:rsidRPr="0093437E">
        <w:rPr>
          <w:rFonts w:cs="Arial"/>
          <w:color w:val="auto"/>
        </w:rPr>
        <w:t xml:space="preserve"> and Worcester </w:t>
      </w:r>
      <w:r w:rsidR="00690696">
        <w:rPr>
          <w:rFonts w:cs="Arial"/>
          <w:color w:val="auto"/>
        </w:rPr>
        <w:t>S</w:t>
      </w:r>
      <w:r w:rsidR="0093437E" w:rsidRPr="0093437E">
        <w:rPr>
          <w:rFonts w:cs="Arial"/>
          <w:color w:val="auto"/>
        </w:rPr>
        <w:t>treet</w:t>
      </w:r>
      <w:r w:rsidR="00EB34DB">
        <w:rPr>
          <w:rFonts w:cs="Arial"/>
          <w:color w:val="auto"/>
        </w:rPr>
        <w:t xml:space="preserve"> car parks and also </w:t>
      </w:r>
      <w:r w:rsidR="0093437E" w:rsidRPr="0093437E">
        <w:rPr>
          <w:rFonts w:cs="Arial"/>
          <w:color w:val="auto"/>
        </w:rPr>
        <w:t>increase</w:t>
      </w:r>
      <w:r w:rsidR="005E7F4B">
        <w:rPr>
          <w:rFonts w:cs="Arial"/>
          <w:color w:val="auto"/>
        </w:rPr>
        <w:t>s</w:t>
      </w:r>
      <w:r w:rsidR="0093437E" w:rsidRPr="0093437E">
        <w:rPr>
          <w:rFonts w:cs="Arial"/>
          <w:color w:val="auto"/>
        </w:rPr>
        <w:t xml:space="preserve"> in business rates expenditure</w:t>
      </w:r>
      <w:r w:rsidR="00EB34DB">
        <w:rPr>
          <w:rFonts w:cs="Arial"/>
          <w:color w:val="auto"/>
        </w:rPr>
        <w:t>.</w:t>
      </w:r>
      <w:r w:rsidR="0093437E" w:rsidRPr="0093437E">
        <w:rPr>
          <w:rFonts w:cs="Arial"/>
          <w:color w:val="auto"/>
        </w:rPr>
        <w:t xml:space="preserve"> </w:t>
      </w:r>
      <w:r w:rsidR="00EB34DB">
        <w:rPr>
          <w:rFonts w:cs="Arial"/>
          <w:color w:val="auto"/>
        </w:rPr>
        <w:t>Oxford Direct Services delivered its dividend back to the Council of £1.247million which was in line with the budget</w:t>
      </w:r>
      <w:r w:rsidR="005E7F4B">
        <w:rPr>
          <w:rFonts w:cs="Arial"/>
          <w:color w:val="auto"/>
        </w:rPr>
        <w:t>.</w:t>
      </w:r>
      <w:r w:rsidRPr="0093437E">
        <w:rPr>
          <w:rFonts w:cs="Arial"/>
          <w:color w:val="auto"/>
        </w:rPr>
        <w:t xml:space="preserve">  </w:t>
      </w:r>
    </w:p>
    <w:p w:rsidR="00BB2427" w:rsidRPr="00FA33B1" w:rsidRDefault="00BB2427" w:rsidP="003D1D47">
      <w:pPr>
        <w:pStyle w:val="ListParagraph"/>
        <w:numPr>
          <w:ilvl w:val="0"/>
          <w:numId w:val="0"/>
        </w:numPr>
        <w:tabs>
          <w:tab w:val="clear" w:pos="426"/>
        </w:tabs>
        <w:spacing w:after="0" w:line="276" w:lineRule="auto"/>
        <w:ind w:left="720"/>
        <w:contextualSpacing/>
        <w:rPr>
          <w:rFonts w:cs="Arial"/>
          <w:color w:val="FF0000"/>
        </w:rPr>
      </w:pPr>
    </w:p>
    <w:p w:rsidR="00BB2427" w:rsidRPr="0007692D" w:rsidRDefault="00BB2427" w:rsidP="00BB2427">
      <w:pPr>
        <w:pStyle w:val="ListParagraph"/>
        <w:numPr>
          <w:ilvl w:val="0"/>
          <w:numId w:val="34"/>
        </w:numPr>
        <w:tabs>
          <w:tab w:val="clear" w:pos="426"/>
        </w:tabs>
        <w:rPr>
          <w:color w:val="auto"/>
        </w:rPr>
      </w:pPr>
      <w:r w:rsidRPr="0007692D">
        <w:rPr>
          <w:rFonts w:cs="Arial"/>
          <w:b/>
          <w:color w:val="auto"/>
        </w:rPr>
        <w:t>Business Improvement</w:t>
      </w:r>
      <w:r w:rsidRPr="0007692D">
        <w:rPr>
          <w:rFonts w:cs="Arial"/>
          <w:color w:val="auto"/>
        </w:rPr>
        <w:t xml:space="preserve"> – year end </w:t>
      </w:r>
      <w:r w:rsidR="0007692D" w:rsidRPr="0007692D">
        <w:rPr>
          <w:rFonts w:cs="Arial"/>
          <w:color w:val="auto"/>
        </w:rPr>
        <w:t>adverse</w:t>
      </w:r>
      <w:r w:rsidRPr="0007692D">
        <w:rPr>
          <w:rFonts w:cs="Arial"/>
          <w:color w:val="auto"/>
        </w:rPr>
        <w:t xml:space="preserve"> </w:t>
      </w:r>
      <w:r w:rsidR="0007692D" w:rsidRPr="0007692D">
        <w:rPr>
          <w:rFonts w:cs="Arial"/>
          <w:color w:val="auto"/>
        </w:rPr>
        <w:t xml:space="preserve">variance of </w:t>
      </w:r>
      <w:r w:rsidRPr="0007692D">
        <w:rPr>
          <w:rFonts w:cs="Arial"/>
          <w:color w:val="auto"/>
        </w:rPr>
        <w:t>£0.</w:t>
      </w:r>
      <w:r w:rsidR="0007692D" w:rsidRPr="0007692D">
        <w:rPr>
          <w:rFonts w:cs="Arial"/>
          <w:color w:val="auto"/>
        </w:rPr>
        <w:t>053</w:t>
      </w:r>
      <w:r w:rsidRPr="0007692D">
        <w:rPr>
          <w:rFonts w:cs="Arial"/>
          <w:color w:val="auto"/>
        </w:rPr>
        <w:t xml:space="preserve"> million</w:t>
      </w:r>
      <w:r w:rsidR="0007692D" w:rsidRPr="0007692D">
        <w:rPr>
          <w:rFonts w:cs="Arial"/>
          <w:color w:val="auto"/>
        </w:rPr>
        <w:t>,</w:t>
      </w:r>
      <w:r w:rsidRPr="0007692D">
        <w:rPr>
          <w:rFonts w:cs="Arial"/>
          <w:color w:val="auto"/>
        </w:rPr>
        <w:t xml:space="preserve"> due to </w:t>
      </w:r>
      <w:r w:rsidR="0007692D" w:rsidRPr="0007692D">
        <w:rPr>
          <w:rFonts w:cs="Arial"/>
          <w:color w:val="auto"/>
        </w:rPr>
        <w:t>small overspends across the services and a number of carry forward requests have been made totalling £</w:t>
      </w:r>
      <w:r w:rsidR="00702A18">
        <w:rPr>
          <w:rFonts w:cs="Arial"/>
          <w:color w:val="auto"/>
        </w:rPr>
        <w:t>0.0</w:t>
      </w:r>
      <w:r w:rsidR="000E6150">
        <w:rPr>
          <w:rFonts w:cs="Arial"/>
          <w:color w:val="auto"/>
        </w:rPr>
        <w:t>0</w:t>
      </w:r>
      <w:r w:rsidR="0007692D" w:rsidRPr="0007692D">
        <w:rPr>
          <w:rFonts w:cs="Arial"/>
          <w:color w:val="auto"/>
        </w:rPr>
        <w:t>7</w:t>
      </w:r>
      <w:r w:rsidR="00702A18">
        <w:rPr>
          <w:rFonts w:cs="Arial"/>
          <w:color w:val="auto"/>
        </w:rPr>
        <w:t xml:space="preserve"> million</w:t>
      </w:r>
      <w:r w:rsidR="000E6150">
        <w:rPr>
          <w:rFonts w:cs="Arial"/>
          <w:color w:val="auto"/>
        </w:rPr>
        <w:t>, t</w:t>
      </w:r>
      <w:r w:rsidR="0007692D" w:rsidRPr="0007692D">
        <w:rPr>
          <w:rFonts w:cs="Arial"/>
          <w:color w:val="auto"/>
        </w:rPr>
        <w:t>hese relate to custo</w:t>
      </w:r>
      <w:r w:rsidR="000838DB">
        <w:rPr>
          <w:rFonts w:cs="Arial"/>
          <w:color w:val="auto"/>
        </w:rPr>
        <w:t>mer services training</w:t>
      </w:r>
      <w:r w:rsidR="000E6150">
        <w:rPr>
          <w:rFonts w:cs="Arial"/>
          <w:color w:val="auto"/>
        </w:rPr>
        <w:t>;</w:t>
      </w:r>
    </w:p>
    <w:p w:rsidR="008D5B32" w:rsidRPr="00AE2EA6" w:rsidRDefault="00156074" w:rsidP="008D5B32">
      <w:pPr>
        <w:pStyle w:val="ListParagraph"/>
        <w:numPr>
          <w:ilvl w:val="0"/>
          <w:numId w:val="0"/>
        </w:numPr>
        <w:rPr>
          <w:b/>
          <w:color w:val="auto"/>
        </w:rPr>
      </w:pPr>
      <w:r w:rsidRPr="00AE2EA6">
        <w:rPr>
          <w:rFonts w:eastAsia="Calibri" w:cs="Arial"/>
          <w:b/>
          <w:color w:val="auto"/>
        </w:rPr>
        <w:t>Corporate Accounts</w:t>
      </w:r>
      <w:r w:rsidR="00EB3453">
        <w:rPr>
          <w:rFonts w:eastAsia="Calibri" w:cs="Arial"/>
          <w:b/>
          <w:color w:val="auto"/>
        </w:rPr>
        <w:t>,</w:t>
      </w:r>
      <w:r w:rsidR="005417BF" w:rsidRPr="00AE2EA6">
        <w:rPr>
          <w:rFonts w:eastAsia="Calibri" w:cs="Arial"/>
          <w:b/>
          <w:color w:val="auto"/>
        </w:rPr>
        <w:t xml:space="preserve"> </w:t>
      </w:r>
      <w:r w:rsidRPr="00AE2EA6">
        <w:rPr>
          <w:rFonts w:eastAsia="Calibri" w:cs="Arial"/>
          <w:b/>
          <w:color w:val="auto"/>
        </w:rPr>
        <w:t xml:space="preserve">Contingencies </w:t>
      </w:r>
      <w:r w:rsidR="00EB3453">
        <w:rPr>
          <w:rFonts w:eastAsia="Calibri" w:cs="Arial"/>
          <w:b/>
          <w:color w:val="auto"/>
        </w:rPr>
        <w:t>and Funding</w:t>
      </w:r>
    </w:p>
    <w:p w:rsidR="00F571F9" w:rsidRPr="00AE2EA6" w:rsidRDefault="00217D91" w:rsidP="00536537">
      <w:pPr>
        <w:pStyle w:val="ListParagraph"/>
        <w:rPr>
          <w:color w:val="auto"/>
        </w:rPr>
      </w:pPr>
      <w:r>
        <w:rPr>
          <w:color w:val="auto"/>
        </w:rPr>
        <w:t xml:space="preserve">Other variances on </w:t>
      </w:r>
      <w:r w:rsidR="00614AE0" w:rsidRPr="00AE2EA6">
        <w:rPr>
          <w:color w:val="auto"/>
        </w:rPr>
        <w:t xml:space="preserve">Corporate Accounts </w:t>
      </w:r>
      <w:r w:rsidR="00EB3453">
        <w:rPr>
          <w:color w:val="auto"/>
        </w:rPr>
        <w:t>are</w:t>
      </w:r>
      <w:r w:rsidR="00614AE0" w:rsidRPr="00AE2EA6">
        <w:rPr>
          <w:color w:val="auto"/>
        </w:rPr>
        <w:t xml:space="preserve"> </w:t>
      </w:r>
      <w:r w:rsidR="00063A0F" w:rsidRPr="00AE2EA6">
        <w:rPr>
          <w:color w:val="auto"/>
        </w:rPr>
        <w:t>due to</w:t>
      </w:r>
      <w:r w:rsidR="005417BF" w:rsidRPr="00AE2EA6">
        <w:rPr>
          <w:color w:val="auto"/>
        </w:rPr>
        <w:t>:</w:t>
      </w:r>
    </w:p>
    <w:p w:rsidR="005417BF" w:rsidRDefault="00650BC9" w:rsidP="005417BF">
      <w:pPr>
        <w:pStyle w:val="ListParagraph"/>
        <w:numPr>
          <w:ilvl w:val="0"/>
          <w:numId w:val="40"/>
        </w:numPr>
        <w:rPr>
          <w:color w:val="auto"/>
        </w:rPr>
      </w:pPr>
      <w:r>
        <w:rPr>
          <w:color w:val="auto"/>
        </w:rPr>
        <w:t>Local Cost of Benefits - £</w:t>
      </w:r>
      <w:r w:rsidR="00EF7982">
        <w:rPr>
          <w:color w:val="auto"/>
        </w:rPr>
        <w:t>0.</w:t>
      </w:r>
      <w:r>
        <w:rPr>
          <w:color w:val="auto"/>
        </w:rPr>
        <w:t>317</w:t>
      </w:r>
      <w:r w:rsidR="00EF7982">
        <w:rPr>
          <w:color w:val="auto"/>
        </w:rPr>
        <w:t xml:space="preserve"> million</w:t>
      </w:r>
      <w:r w:rsidR="001479C1" w:rsidRPr="00AE2EA6">
        <w:rPr>
          <w:color w:val="auto"/>
        </w:rPr>
        <w:t xml:space="preserve"> adverse variance due to insufficient budget allocated at the beginning of the year</w:t>
      </w:r>
      <w:r w:rsidR="00702A18">
        <w:rPr>
          <w:color w:val="auto"/>
        </w:rPr>
        <w:t>.  This</w:t>
      </w:r>
      <w:r w:rsidR="0035702E">
        <w:rPr>
          <w:color w:val="auto"/>
        </w:rPr>
        <w:t xml:space="preserve"> represents 0.6% of total spend;</w:t>
      </w:r>
    </w:p>
    <w:p w:rsidR="00523C1C" w:rsidRDefault="00523C1C" w:rsidP="00EE1828">
      <w:pPr>
        <w:pStyle w:val="ListParagraph"/>
        <w:numPr>
          <w:ilvl w:val="0"/>
          <w:numId w:val="0"/>
        </w:numPr>
        <w:ind w:left="786"/>
        <w:rPr>
          <w:color w:val="auto"/>
        </w:rPr>
      </w:pPr>
    </w:p>
    <w:p w:rsidR="0035702E" w:rsidRDefault="0035702E" w:rsidP="005417BF">
      <w:pPr>
        <w:pStyle w:val="ListParagraph"/>
        <w:numPr>
          <w:ilvl w:val="0"/>
          <w:numId w:val="40"/>
        </w:numPr>
        <w:rPr>
          <w:color w:val="auto"/>
        </w:rPr>
      </w:pPr>
      <w:r>
        <w:rPr>
          <w:color w:val="auto"/>
        </w:rPr>
        <w:t xml:space="preserve">Corporate and Democratic Core - £0.106 million favourable, which represents </w:t>
      </w:r>
      <w:proofErr w:type="gramStart"/>
      <w:r>
        <w:rPr>
          <w:color w:val="auto"/>
        </w:rPr>
        <w:t>an underspend</w:t>
      </w:r>
      <w:proofErr w:type="gramEnd"/>
      <w:r>
        <w:rPr>
          <w:color w:val="auto"/>
        </w:rPr>
        <w:t xml:space="preserve"> on early retirement and pension costs</w:t>
      </w:r>
      <w:r w:rsidR="00EB3453">
        <w:rPr>
          <w:color w:val="auto"/>
        </w:rPr>
        <w:t>. This represents</w:t>
      </w:r>
      <w:r w:rsidR="000811A3">
        <w:rPr>
          <w:color w:val="auto"/>
        </w:rPr>
        <w:t xml:space="preserve"> 3.5% of spend</w:t>
      </w:r>
      <w:r>
        <w:rPr>
          <w:color w:val="auto"/>
        </w:rPr>
        <w:t>;</w:t>
      </w:r>
    </w:p>
    <w:p w:rsidR="00217D91" w:rsidRPr="00EB3453" w:rsidRDefault="00217D91" w:rsidP="007C4000">
      <w:pPr>
        <w:pStyle w:val="ListParagraph"/>
        <w:numPr>
          <w:ilvl w:val="0"/>
          <w:numId w:val="40"/>
        </w:numPr>
        <w:rPr>
          <w:b/>
          <w:color w:val="auto"/>
        </w:rPr>
      </w:pPr>
      <w:r w:rsidRPr="00EB3453">
        <w:rPr>
          <w:color w:val="auto"/>
        </w:rPr>
        <w:t>Interest - £0.190 million favourable -</w:t>
      </w:r>
      <w:r w:rsidR="000811A3">
        <w:rPr>
          <w:color w:val="auto"/>
        </w:rPr>
        <w:t xml:space="preserve"> </w:t>
      </w:r>
      <w:r w:rsidRPr="00EB3453">
        <w:rPr>
          <w:color w:val="auto"/>
        </w:rPr>
        <w:t xml:space="preserve">Reduced net interest </w:t>
      </w:r>
      <w:r w:rsidR="00EB3453">
        <w:rPr>
          <w:color w:val="auto"/>
        </w:rPr>
        <w:t xml:space="preserve">paid </w:t>
      </w:r>
      <w:r w:rsidRPr="00EB3453">
        <w:rPr>
          <w:color w:val="auto"/>
        </w:rPr>
        <w:t>arising from reduced borrowing</w:t>
      </w:r>
      <w:r w:rsidR="00EB3453">
        <w:rPr>
          <w:color w:val="auto"/>
        </w:rPr>
        <w:t xml:space="preserve"> mainly in relation to Housing Company loans</w:t>
      </w:r>
      <w:r w:rsidR="000811A3">
        <w:rPr>
          <w:color w:val="auto"/>
        </w:rPr>
        <w:t>;</w:t>
      </w:r>
    </w:p>
    <w:p w:rsidR="007C4000" w:rsidRPr="00EB3453" w:rsidRDefault="007C4000" w:rsidP="00EB3453">
      <w:pPr>
        <w:pStyle w:val="ListParagraph"/>
        <w:numPr>
          <w:ilvl w:val="0"/>
          <w:numId w:val="40"/>
        </w:numPr>
        <w:rPr>
          <w:color w:val="auto"/>
        </w:rPr>
      </w:pPr>
      <w:r w:rsidRPr="00EB3453">
        <w:rPr>
          <w:color w:val="auto"/>
        </w:rPr>
        <w:t xml:space="preserve">Business Rate (NNDR) achieved an overall increased income of £2.744 million, this is partly due to the increase in Business rates collectable from the Westgate Shopping Centre, </w:t>
      </w:r>
      <w:r w:rsidR="00A92F6E">
        <w:rPr>
          <w:color w:val="auto"/>
        </w:rPr>
        <w:t xml:space="preserve">which was forecast </w:t>
      </w:r>
      <w:r w:rsidRPr="00EB3453">
        <w:rPr>
          <w:color w:val="auto"/>
        </w:rPr>
        <w:t xml:space="preserve">but also due to </w:t>
      </w:r>
      <w:r w:rsidR="00695DEE" w:rsidRPr="00EB3453">
        <w:rPr>
          <w:color w:val="auto"/>
        </w:rPr>
        <w:t xml:space="preserve">one off unbudgeted income of around £1.8 million arising from the Business Rates </w:t>
      </w:r>
      <w:r w:rsidR="00ED4F53" w:rsidRPr="00EB3453">
        <w:rPr>
          <w:color w:val="auto"/>
        </w:rPr>
        <w:t>Distribution</w:t>
      </w:r>
      <w:r w:rsidR="00695DEE" w:rsidRPr="00EB3453">
        <w:rPr>
          <w:color w:val="auto"/>
        </w:rPr>
        <w:t xml:space="preserve"> Group</w:t>
      </w:r>
      <w:r w:rsidR="00EB3453">
        <w:rPr>
          <w:color w:val="auto"/>
        </w:rPr>
        <w:t xml:space="preserve"> relating to the Council</w:t>
      </w:r>
      <w:r w:rsidR="005E7F4B">
        <w:rPr>
          <w:color w:val="auto"/>
        </w:rPr>
        <w:t>’</w:t>
      </w:r>
      <w:r w:rsidR="00EB3453">
        <w:rPr>
          <w:color w:val="auto"/>
        </w:rPr>
        <w:t xml:space="preserve">s share of growth in Business Rates income arising across Oxfordshire. </w:t>
      </w:r>
      <w:r w:rsidR="00A92F6E">
        <w:rPr>
          <w:color w:val="auto"/>
        </w:rPr>
        <w:t xml:space="preserve">The income from the Distribution Group </w:t>
      </w:r>
      <w:r w:rsidR="00523C1C">
        <w:rPr>
          <w:color w:val="auto"/>
        </w:rPr>
        <w:t xml:space="preserve">depends </w:t>
      </w:r>
      <w:r w:rsidR="00A92F6E">
        <w:rPr>
          <w:color w:val="auto"/>
        </w:rPr>
        <w:t xml:space="preserve">on growth </w:t>
      </w:r>
      <w:r w:rsidR="00523C1C">
        <w:rPr>
          <w:color w:val="auto"/>
        </w:rPr>
        <w:t xml:space="preserve">in business rates income </w:t>
      </w:r>
      <w:r w:rsidR="00A92F6E">
        <w:rPr>
          <w:color w:val="auto"/>
        </w:rPr>
        <w:t>in other authorities across Oxfordshire and is not guaranteed</w:t>
      </w:r>
      <w:r w:rsidR="00523C1C">
        <w:rPr>
          <w:color w:val="auto"/>
        </w:rPr>
        <w:t>.</w:t>
      </w:r>
      <w:r w:rsidR="00A92F6E">
        <w:rPr>
          <w:color w:val="auto"/>
        </w:rPr>
        <w:t xml:space="preserve"> </w:t>
      </w:r>
      <w:r w:rsidR="00523C1C">
        <w:rPr>
          <w:color w:val="auto"/>
        </w:rPr>
        <w:t>I</w:t>
      </w:r>
      <w:r w:rsidR="00A92F6E">
        <w:rPr>
          <w:color w:val="auto"/>
        </w:rPr>
        <w:t xml:space="preserve">nclusion in the Councils base budget would therefore not be prudent. </w:t>
      </w:r>
      <w:r w:rsidR="00523C1C">
        <w:rPr>
          <w:color w:val="auto"/>
        </w:rPr>
        <w:t>Business rates income is</w:t>
      </w:r>
      <w:r w:rsidR="00A92F6E">
        <w:rPr>
          <w:color w:val="auto"/>
        </w:rPr>
        <w:t xml:space="preserve"> volatile and baseline levels of base income are due to be reset by Government with effect from April 2020. </w:t>
      </w:r>
      <w:r w:rsidR="00695DEE" w:rsidRPr="00EB3453">
        <w:rPr>
          <w:color w:val="auto"/>
        </w:rPr>
        <w:t xml:space="preserve">Due to the uncertain nature of Business Rates in future years this additional income has been transferred to </w:t>
      </w:r>
      <w:r w:rsidR="00EE1828" w:rsidRPr="00EB3453">
        <w:rPr>
          <w:color w:val="auto"/>
        </w:rPr>
        <w:t>the earmarked</w:t>
      </w:r>
      <w:r w:rsidR="00695DEE" w:rsidRPr="00EB3453">
        <w:rPr>
          <w:color w:val="auto"/>
        </w:rPr>
        <w:t xml:space="preserve"> reserve</w:t>
      </w:r>
      <w:r w:rsidR="00EB3453">
        <w:rPr>
          <w:color w:val="auto"/>
        </w:rPr>
        <w:t>s</w:t>
      </w:r>
      <w:r w:rsidR="00695DEE" w:rsidRPr="00EB3453">
        <w:rPr>
          <w:color w:val="auto"/>
        </w:rPr>
        <w:t xml:space="preserve"> to provide resilience in this area</w:t>
      </w:r>
      <w:r w:rsidR="00523C1C">
        <w:rPr>
          <w:color w:val="auto"/>
        </w:rPr>
        <w:t>.</w:t>
      </w:r>
      <w:r w:rsidR="00695DEE" w:rsidRPr="00EB3453">
        <w:rPr>
          <w:color w:val="auto"/>
        </w:rPr>
        <w:t xml:space="preserve"> </w:t>
      </w:r>
    </w:p>
    <w:p w:rsidR="00695DEE" w:rsidRPr="00695DEE" w:rsidRDefault="00695DEE" w:rsidP="00695DEE">
      <w:pPr>
        <w:ind w:left="426"/>
        <w:rPr>
          <w:color w:val="auto"/>
        </w:rPr>
      </w:pPr>
    </w:p>
    <w:p w:rsidR="005417BF" w:rsidRPr="00362247" w:rsidRDefault="00156074" w:rsidP="005417BF">
      <w:pPr>
        <w:pStyle w:val="ListParagraph"/>
        <w:numPr>
          <w:ilvl w:val="0"/>
          <w:numId w:val="0"/>
        </w:numPr>
        <w:ind w:left="426" w:hanging="426"/>
        <w:rPr>
          <w:b/>
          <w:color w:val="auto"/>
        </w:rPr>
      </w:pPr>
      <w:r w:rsidRPr="00362247">
        <w:rPr>
          <w:b/>
          <w:color w:val="auto"/>
        </w:rPr>
        <w:t>Housing Revenue Account</w:t>
      </w:r>
    </w:p>
    <w:p w:rsidR="00EB068A" w:rsidRPr="00362247" w:rsidRDefault="00536537" w:rsidP="00C12317">
      <w:pPr>
        <w:pStyle w:val="ListParagraph"/>
        <w:rPr>
          <w:color w:val="auto"/>
        </w:rPr>
      </w:pPr>
      <w:r w:rsidRPr="00362247">
        <w:rPr>
          <w:color w:val="auto"/>
        </w:rPr>
        <w:t>The</w:t>
      </w:r>
      <w:r w:rsidR="00C12317" w:rsidRPr="00362247">
        <w:rPr>
          <w:color w:val="auto"/>
        </w:rPr>
        <w:t xml:space="preserve"> </w:t>
      </w:r>
      <w:r w:rsidR="00EB068A" w:rsidRPr="00362247">
        <w:rPr>
          <w:color w:val="auto"/>
        </w:rPr>
        <w:t xml:space="preserve">HRA </w:t>
      </w:r>
      <w:r w:rsidR="0074211E" w:rsidRPr="00362247">
        <w:rPr>
          <w:color w:val="auto"/>
        </w:rPr>
        <w:t>is</w:t>
      </w:r>
      <w:r w:rsidR="00EB068A" w:rsidRPr="00362247">
        <w:rPr>
          <w:color w:val="auto"/>
        </w:rPr>
        <w:t xml:space="preserve"> showing</w:t>
      </w:r>
      <w:r w:rsidR="0074211E" w:rsidRPr="00362247">
        <w:rPr>
          <w:color w:val="auto"/>
        </w:rPr>
        <w:t xml:space="preserve"> a </w:t>
      </w:r>
      <w:r w:rsidR="00C12317" w:rsidRPr="00362247">
        <w:rPr>
          <w:color w:val="auto"/>
        </w:rPr>
        <w:t>favourabl</w:t>
      </w:r>
      <w:r w:rsidR="002E3561" w:rsidRPr="00362247">
        <w:rPr>
          <w:color w:val="auto"/>
        </w:rPr>
        <w:t xml:space="preserve">e </w:t>
      </w:r>
      <w:r w:rsidR="00C12317" w:rsidRPr="00362247">
        <w:rPr>
          <w:color w:val="auto"/>
        </w:rPr>
        <w:t xml:space="preserve">variance on the </w:t>
      </w:r>
      <w:r w:rsidRPr="00362247">
        <w:rPr>
          <w:color w:val="auto"/>
        </w:rPr>
        <w:t xml:space="preserve">HRA </w:t>
      </w:r>
      <w:r w:rsidR="0074211E" w:rsidRPr="00362247">
        <w:rPr>
          <w:color w:val="auto"/>
        </w:rPr>
        <w:t>of</w:t>
      </w:r>
      <w:r w:rsidRPr="00362247">
        <w:rPr>
          <w:color w:val="auto"/>
        </w:rPr>
        <w:t xml:space="preserve"> </w:t>
      </w:r>
      <w:r w:rsidR="00966F41" w:rsidRPr="00362247">
        <w:rPr>
          <w:color w:val="auto"/>
        </w:rPr>
        <w:t xml:space="preserve">£3.716 </w:t>
      </w:r>
      <w:r w:rsidR="001E5C87" w:rsidRPr="00362247">
        <w:rPr>
          <w:color w:val="auto"/>
        </w:rPr>
        <w:t xml:space="preserve">million </w:t>
      </w:r>
      <w:r w:rsidR="00BB090E" w:rsidRPr="00362247">
        <w:rPr>
          <w:color w:val="auto"/>
        </w:rPr>
        <w:t xml:space="preserve">above the original budgeted </w:t>
      </w:r>
      <w:r w:rsidR="00966F41" w:rsidRPr="00362247">
        <w:rPr>
          <w:color w:val="auto"/>
        </w:rPr>
        <w:t>deficit</w:t>
      </w:r>
      <w:r w:rsidR="001E5C87" w:rsidRPr="00362247">
        <w:rPr>
          <w:color w:val="auto"/>
        </w:rPr>
        <w:t xml:space="preserve"> of </w:t>
      </w:r>
      <w:r w:rsidR="00966F41" w:rsidRPr="00362247">
        <w:rPr>
          <w:color w:val="auto"/>
        </w:rPr>
        <w:t>£1.440</w:t>
      </w:r>
      <w:r w:rsidR="001E5C87" w:rsidRPr="00362247">
        <w:rPr>
          <w:color w:val="auto"/>
        </w:rPr>
        <w:t xml:space="preserve"> million</w:t>
      </w:r>
      <w:r w:rsidR="000D6E10" w:rsidRPr="00362247">
        <w:rPr>
          <w:color w:val="auto"/>
        </w:rPr>
        <w:t xml:space="preserve"> </w:t>
      </w:r>
      <w:r w:rsidR="000D6E10" w:rsidRPr="007B2188">
        <w:rPr>
          <w:color w:val="auto"/>
        </w:rPr>
        <w:t>(Appendix C)</w:t>
      </w:r>
      <w:r w:rsidR="00C12317" w:rsidRPr="007B2188">
        <w:rPr>
          <w:color w:val="auto"/>
        </w:rPr>
        <w:t>.  This</w:t>
      </w:r>
      <w:r w:rsidR="00C12317" w:rsidRPr="00362247">
        <w:rPr>
          <w:color w:val="auto"/>
        </w:rPr>
        <w:t xml:space="preserve"> is </w:t>
      </w:r>
      <w:r w:rsidR="00D357A0" w:rsidRPr="00362247">
        <w:rPr>
          <w:color w:val="auto"/>
        </w:rPr>
        <w:t>after allowing for</w:t>
      </w:r>
      <w:r w:rsidR="00EB068A" w:rsidRPr="00362247">
        <w:rPr>
          <w:color w:val="auto"/>
        </w:rPr>
        <w:t xml:space="preserve"> carry forward </w:t>
      </w:r>
      <w:r w:rsidR="00C12317" w:rsidRPr="00362247">
        <w:rPr>
          <w:color w:val="auto"/>
        </w:rPr>
        <w:t>request</w:t>
      </w:r>
      <w:r w:rsidR="00EB068A" w:rsidRPr="00362247">
        <w:rPr>
          <w:color w:val="auto"/>
        </w:rPr>
        <w:t>s, totalling</w:t>
      </w:r>
      <w:r w:rsidR="00660A77">
        <w:rPr>
          <w:color w:val="auto"/>
        </w:rPr>
        <w:t xml:space="preserve"> £0.2</w:t>
      </w:r>
      <w:r w:rsidR="00362247" w:rsidRPr="00362247">
        <w:rPr>
          <w:color w:val="auto"/>
        </w:rPr>
        <w:t>02</w:t>
      </w:r>
      <w:r w:rsidR="00660A77">
        <w:rPr>
          <w:color w:val="auto"/>
        </w:rPr>
        <w:t xml:space="preserve"> million</w:t>
      </w:r>
      <w:r w:rsidR="00C12317" w:rsidRPr="00362247">
        <w:rPr>
          <w:color w:val="auto"/>
        </w:rPr>
        <w:t>.</w:t>
      </w:r>
      <w:r w:rsidR="003E74D0" w:rsidRPr="00362247">
        <w:rPr>
          <w:color w:val="auto"/>
        </w:rPr>
        <w:t xml:space="preserve"> </w:t>
      </w:r>
    </w:p>
    <w:p w:rsidR="00703F5D" w:rsidRPr="00362247" w:rsidRDefault="00703F5D" w:rsidP="00536537">
      <w:pPr>
        <w:pStyle w:val="ListParagraph"/>
        <w:rPr>
          <w:color w:val="auto"/>
        </w:rPr>
      </w:pPr>
      <w:r w:rsidRPr="00362247">
        <w:rPr>
          <w:color w:val="auto"/>
        </w:rPr>
        <w:t>The HRA working balance remains unchanged at £4.0 million.</w:t>
      </w:r>
    </w:p>
    <w:p w:rsidR="00536537" w:rsidRPr="00362247" w:rsidRDefault="00703F5D" w:rsidP="00536537">
      <w:pPr>
        <w:pStyle w:val="ListParagraph"/>
        <w:rPr>
          <w:color w:val="auto"/>
        </w:rPr>
      </w:pPr>
      <w:r w:rsidRPr="00362247">
        <w:rPr>
          <w:color w:val="auto"/>
        </w:rPr>
        <w:t>The yea</w:t>
      </w:r>
      <w:r w:rsidR="008F2876" w:rsidRPr="00362247">
        <w:rPr>
          <w:color w:val="auto"/>
        </w:rPr>
        <w:t>r end variance is shown as £</w:t>
      </w:r>
      <w:r w:rsidR="00362247" w:rsidRPr="00362247">
        <w:rPr>
          <w:color w:val="auto"/>
        </w:rPr>
        <w:t xml:space="preserve">3.716 </w:t>
      </w:r>
      <w:r w:rsidRPr="00362247">
        <w:rPr>
          <w:color w:val="auto"/>
        </w:rPr>
        <w:t>million and the m</w:t>
      </w:r>
      <w:r w:rsidR="00536537" w:rsidRPr="00362247">
        <w:rPr>
          <w:color w:val="auto"/>
        </w:rPr>
        <w:t>ajor variations include:</w:t>
      </w:r>
    </w:p>
    <w:p w:rsidR="00362247" w:rsidRPr="00ED7F3D" w:rsidRDefault="00362247" w:rsidP="00362247">
      <w:pPr>
        <w:pStyle w:val="ListParagraph"/>
        <w:numPr>
          <w:ilvl w:val="1"/>
          <w:numId w:val="42"/>
        </w:numPr>
      </w:pPr>
      <w:r w:rsidRPr="00ED7F3D">
        <w:lastRenderedPageBreak/>
        <w:t>Dwelling Rent – favourable variance of £0.120 million to reflect the increased income following the decline in RTB disposals and the movement of 171 properties to formulae rent since the budget was set;</w:t>
      </w:r>
    </w:p>
    <w:p w:rsidR="00362247" w:rsidRPr="00ED7F3D" w:rsidRDefault="00362247" w:rsidP="00362247">
      <w:pPr>
        <w:pStyle w:val="ListParagraph"/>
        <w:numPr>
          <w:ilvl w:val="1"/>
          <w:numId w:val="42"/>
        </w:numPr>
      </w:pPr>
      <w:r w:rsidRPr="00ED7F3D">
        <w:t>Services Charges – favourable variance of £0.184 million, following those properties that have moved to formulae rent for which the service charge has increased;</w:t>
      </w:r>
    </w:p>
    <w:p w:rsidR="00362247" w:rsidRPr="00ED7F3D" w:rsidRDefault="00362247" w:rsidP="00362247">
      <w:pPr>
        <w:pStyle w:val="ListParagraph"/>
        <w:numPr>
          <w:ilvl w:val="1"/>
          <w:numId w:val="42"/>
        </w:numPr>
        <w:contextualSpacing/>
      </w:pPr>
      <w:r w:rsidRPr="00ED7F3D">
        <w:t>Other Revenue spend (stock related) – favourable variance of £0.363 million represents an underspend across a number of areas but all of which are due to the reductions in spend on the capital programme and their incidental revenue costs not materialising;</w:t>
      </w:r>
    </w:p>
    <w:p w:rsidR="00362247" w:rsidRPr="00ED7F3D" w:rsidRDefault="00362247" w:rsidP="00362247">
      <w:pPr>
        <w:pStyle w:val="ListParagraph"/>
        <w:numPr>
          <w:ilvl w:val="1"/>
          <w:numId w:val="42"/>
        </w:numPr>
        <w:contextualSpacing/>
      </w:pPr>
      <w:r w:rsidRPr="00ED7F3D">
        <w:t>Responsive and Cyclical repairs – favourable variance of £0.417 million due to less work being carried out on the maintenance element of the service contracts, however £</w:t>
      </w:r>
      <w:r w:rsidR="00702A18">
        <w:t>0.</w:t>
      </w:r>
      <w:r w:rsidRPr="00ED7F3D">
        <w:t>154</w:t>
      </w:r>
      <w:r w:rsidR="00702A18">
        <w:t xml:space="preserve"> million</w:t>
      </w:r>
      <w:r w:rsidRPr="00ED7F3D">
        <w:t xml:space="preserve"> has been submitted as a carry forward for some of these costs.</w:t>
      </w:r>
    </w:p>
    <w:p w:rsidR="00362247" w:rsidRPr="00362247" w:rsidRDefault="00362247" w:rsidP="00362247">
      <w:pPr>
        <w:pStyle w:val="ListParagraph"/>
        <w:numPr>
          <w:ilvl w:val="1"/>
          <w:numId w:val="42"/>
        </w:numPr>
        <w:tabs>
          <w:tab w:val="clear" w:pos="426"/>
        </w:tabs>
        <w:spacing w:after="0"/>
        <w:contextualSpacing/>
        <w:rPr>
          <w:b/>
        </w:rPr>
      </w:pPr>
      <w:r w:rsidRPr="00ED7F3D">
        <w:t>Total appropriations – favourable variance of £2.423 million due to the reduced funding required for the Capital Programme.</w:t>
      </w:r>
    </w:p>
    <w:p w:rsidR="00362247" w:rsidRPr="00ED7F3D" w:rsidRDefault="00362247" w:rsidP="00362247">
      <w:pPr>
        <w:pStyle w:val="ListParagraph"/>
        <w:numPr>
          <w:ilvl w:val="0"/>
          <w:numId w:val="0"/>
        </w:numPr>
        <w:tabs>
          <w:tab w:val="clear" w:pos="426"/>
        </w:tabs>
        <w:spacing w:after="0"/>
        <w:ind w:left="1080"/>
        <w:contextualSpacing/>
        <w:rPr>
          <w:b/>
        </w:rPr>
      </w:pPr>
    </w:p>
    <w:p w:rsidR="00764912" w:rsidRPr="008A15F8" w:rsidRDefault="00764912" w:rsidP="00764912">
      <w:pPr>
        <w:pStyle w:val="ListParagraph"/>
        <w:numPr>
          <w:ilvl w:val="0"/>
          <w:numId w:val="0"/>
        </w:numPr>
        <w:ind w:left="426"/>
        <w:rPr>
          <w:b/>
          <w:color w:val="000000" w:themeColor="text1"/>
        </w:rPr>
      </w:pPr>
      <w:r w:rsidRPr="008A15F8">
        <w:rPr>
          <w:b/>
          <w:color w:val="000000" w:themeColor="text1"/>
        </w:rPr>
        <w:t>Capital</w:t>
      </w:r>
    </w:p>
    <w:p w:rsidR="00C519D6" w:rsidRDefault="00764912" w:rsidP="00764912">
      <w:pPr>
        <w:pStyle w:val="ListParagraph"/>
        <w:rPr>
          <w:color w:val="000000" w:themeColor="text1"/>
        </w:rPr>
      </w:pPr>
      <w:r w:rsidRPr="008A15F8">
        <w:rPr>
          <w:color w:val="000000" w:themeColor="text1"/>
        </w:rPr>
        <w:t>The outturn on the Capital Programme is £</w:t>
      </w:r>
      <w:r w:rsidR="008A15F8" w:rsidRPr="008A15F8">
        <w:rPr>
          <w:color w:val="000000" w:themeColor="text1"/>
        </w:rPr>
        <w:t>42.533</w:t>
      </w:r>
      <w:r w:rsidR="00624C75" w:rsidRPr="008A15F8">
        <w:rPr>
          <w:color w:val="000000" w:themeColor="text1"/>
        </w:rPr>
        <w:t xml:space="preserve"> </w:t>
      </w:r>
      <w:r w:rsidRPr="008A15F8">
        <w:rPr>
          <w:color w:val="000000" w:themeColor="text1"/>
        </w:rPr>
        <w:t xml:space="preserve">million </w:t>
      </w:r>
      <w:r w:rsidR="00AD6658" w:rsidRPr="008A15F8">
        <w:rPr>
          <w:color w:val="000000" w:themeColor="text1"/>
        </w:rPr>
        <w:t xml:space="preserve">with </w:t>
      </w:r>
      <w:r w:rsidRPr="008A15F8">
        <w:rPr>
          <w:color w:val="000000" w:themeColor="text1"/>
        </w:rPr>
        <w:t xml:space="preserve">a </w:t>
      </w:r>
      <w:r w:rsidR="007C4000">
        <w:rPr>
          <w:color w:val="000000" w:themeColor="text1"/>
        </w:rPr>
        <w:t xml:space="preserve">favourable variance of </w:t>
      </w:r>
      <w:r w:rsidRPr="008A15F8">
        <w:rPr>
          <w:color w:val="000000" w:themeColor="text1"/>
        </w:rPr>
        <w:t>£</w:t>
      </w:r>
      <w:r w:rsidR="008A15F8" w:rsidRPr="008A15F8">
        <w:rPr>
          <w:color w:val="000000" w:themeColor="text1"/>
        </w:rPr>
        <w:t>10.398</w:t>
      </w:r>
      <w:r w:rsidR="007C4000">
        <w:rPr>
          <w:color w:val="000000" w:themeColor="text1"/>
        </w:rPr>
        <w:t xml:space="preserve"> </w:t>
      </w:r>
      <w:r w:rsidRPr="008A15F8">
        <w:rPr>
          <w:color w:val="000000" w:themeColor="text1"/>
        </w:rPr>
        <w:t>mil</w:t>
      </w:r>
      <w:r w:rsidR="004E288C" w:rsidRPr="008A15F8">
        <w:rPr>
          <w:color w:val="000000" w:themeColor="text1"/>
        </w:rPr>
        <w:t xml:space="preserve">lion against the latest </w:t>
      </w:r>
      <w:r w:rsidR="00D563F6" w:rsidRPr="008A15F8">
        <w:rPr>
          <w:color w:val="000000" w:themeColor="text1"/>
        </w:rPr>
        <w:t>outturn estimate forecast in February</w:t>
      </w:r>
      <w:r w:rsidR="00251369" w:rsidRPr="008A15F8">
        <w:rPr>
          <w:color w:val="000000" w:themeColor="text1"/>
        </w:rPr>
        <w:t xml:space="preserve"> as shown i</w:t>
      </w:r>
      <w:r w:rsidR="007B4395" w:rsidRPr="008A15F8">
        <w:rPr>
          <w:color w:val="000000" w:themeColor="text1"/>
        </w:rPr>
        <w:t xml:space="preserve">n </w:t>
      </w:r>
      <w:r w:rsidR="007B4395" w:rsidRPr="007B2188">
        <w:rPr>
          <w:color w:val="000000" w:themeColor="text1"/>
        </w:rPr>
        <w:t>Appendix B</w:t>
      </w:r>
      <w:r w:rsidR="004E288C" w:rsidRPr="008A15F8">
        <w:rPr>
          <w:color w:val="000000" w:themeColor="text1"/>
        </w:rPr>
        <w:t>.</w:t>
      </w:r>
      <w:r w:rsidR="00AD6658" w:rsidRPr="008A15F8">
        <w:rPr>
          <w:color w:val="000000" w:themeColor="text1"/>
        </w:rPr>
        <w:t xml:space="preserve">  </w:t>
      </w:r>
      <w:r w:rsidR="00C519D6" w:rsidRPr="00293B26">
        <w:rPr>
          <w:color w:val="000000" w:themeColor="text1"/>
        </w:rPr>
        <w:t xml:space="preserve">The variance of £10.398 million </w:t>
      </w:r>
      <w:r w:rsidR="00AC2F1C">
        <w:rPr>
          <w:color w:val="000000" w:themeColor="text1"/>
        </w:rPr>
        <w:t xml:space="preserve">largely relates to slippage in ICT projects specifically the implementation of the replacement Housing Management System and </w:t>
      </w:r>
      <w:r w:rsidR="00F0529A">
        <w:rPr>
          <w:color w:val="000000" w:themeColor="text1"/>
        </w:rPr>
        <w:t xml:space="preserve">the roll out of end users devices, slippage in the housing development at Mortimer Drive and Bracegirdle Road, reduced spend in loans given the Housing Company and slippage in the Horspath Sports Path Scheme. </w:t>
      </w:r>
    </w:p>
    <w:p w:rsidR="00A92F6E" w:rsidRDefault="00A92F6E" w:rsidP="00764912">
      <w:pPr>
        <w:pStyle w:val="ListParagraph"/>
        <w:rPr>
          <w:color w:val="000000" w:themeColor="text1"/>
        </w:rPr>
      </w:pPr>
      <w:r w:rsidRPr="008A15F8">
        <w:rPr>
          <w:color w:val="000000" w:themeColor="text1"/>
        </w:rPr>
        <w:t>Th</w:t>
      </w:r>
      <w:r>
        <w:rPr>
          <w:color w:val="000000" w:themeColor="text1"/>
        </w:rPr>
        <w:t xml:space="preserve">e total slippage from the original budget is £63.168 million </w:t>
      </w:r>
      <w:r w:rsidR="00EE1828">
        <w:rPr>
          <w:color w:val="000000" w:themeColor="text1"/>
        </w:rPr>
        <w:t xml:space="preserve">which </w:t>
      </w:r>
      <w:r w:rsidR="00EE1828" w:rsidRPr="00D57076">
        <w:rPr>
          <w:color w:val="000000" w:themeColor="text1"/>
        </w:rPr>
        <w:t>represents</w:t>
      </w:r>
      <w:r w:rsidRPr="008A15F8">
        <w:rPr>
          <w:color w:val="000000" w:themeColor="text1"/>
        </w:rPr>
        <w:t xml:space="preserve"> </w:t>
      </w:r>
      <w:proofErr w:type="gramStart"/>
      <w:r w:rsidRPr="008A15F8">
        <w:rPr>
          <w:color w:val="000000" w:themeColor="text1"/>
        </w:rPr>
        <w:t>a  spend</w:t>
      </w:r>
      <w:proofErr w:type="gramEnd"/>
      <w:r w:rsidRPr="008A15F8">
        <w:rPr>
          <w:color w:val="000000" w:themeColor="text1"/>
        </w:rPr>
        <w:t xml:space="preserve"> of </w:t>
      </w:r>
      <w:r w:rsidR="00EE1828">
        <w:rPr>
          <w:color w:val="000000" w:themeColor="text1"/>
        </w:rPr>
        <w:t xml:space="preserve">40% of </w:t>
      </w:r>
      <w:r w:rsidRPr="008A15F8">
        <w:rPr>
          <w:color w:val="000000" w:themeColor="text1"/>
        </w:rPr>
        <w:t>the original budget compared to 69% last year and 78% the previous year.</w:t>
      </w:r>
      <w:r>
        <w:rPr>
          <w:color w:val="000000" w:themeColor="text1"/>
        </w:rPr>
        <w:t xml:space="preserve"> </w:t>
      </w:r>
      <w:r w:rsidR="003C2197">
        <w:rPr>
          <w:color w:val="000000" w:themeColor="text1"/>
        </w:rPr>
        <w:t>R</w:t>
      </w:r>
      <w:r>
        <w:rPr>
          <w:color w:val="000000" w:themeColor="text1"/>
        </w:rPr>
        <w:t xml:space="preserve">evisions to the overall Capital Allocation and Monitoring process which aim to increase the robustness in terms of the development and costing of capital projects before their inclusion in the capital programme and the subsequent monitoring of the </w:t>
      </w:r>
      <w:proofErr w:type="gramStart"/>
      <w:r>
        <w:rPr>
          <w:color w:val="000000" w:themeColor="text1"/>
        </w:rPr>
        <w:t>programme,</w:t>
      </w:r>
      <w:proofErr w:type="gramEnd"/>
      <w:r>
        <w:rPr>
          <w:color w:val="000000" w:themeColor="text1"/>
        </w:rPr>
        <w:t xml:space="preserve"> have recently been implemented. This</w:t>
      </w:r>
      <w:r w:rsidR="003C2197">
        <w:rPr>
          <w:color w:val="000000" w:themeColor="text1"/>
        </w:rPr>
        <w:t>,</w:t>
      </w:r>
      <w:r>
        <w:rPr>
          <w:color w:val="000000" w:themeColor="text1"/>
        </w:rPr>
        <w:t xml:space="preserve"> together with additional resources approved by members in the order of £400k with effect from 1</w:t>
      </w:r>
      <w:r w:rsidRPr="00D57076">
        <w:rPr>
          <w:color w:val="000000" w:themeColor="text1"/>
          <w:vertAlign w:val="superscript"/>
        </w:rPr>
        <w:t>st</w:t>
      </w:r>
      <w:r>
        <w:rPr>
          <w:color w:val="000000" w:themeColor="text1"/>
        </w:rPr>
        <w:t xml:space="preserve"> April 2019, is aimed at increasing the level  of spend to </w:t>
      </w:r>
      <w:r w:rsidR="003C2197">
        <w:rPr>
          <w:color w:val="000000" w:themeColor="text1"/>
        </w:rPr>
        <w:t xml:space="preserve">at least </w:t>
      </w:r>
      <w:r>
        <w:rPr>
          <w:color w:val="000000" w:themeColor="text1"/>
        </w:rPr>
        <w:t>80% for 2019-20.</w:t>
      </w:r>
    </w:p>
    <w:p w:rsidR="00A92F6E" w:rsidRPr="00D57076" w:rsidRDefault="00A92F6E" w:rsidP="00A92F6E">
      <w:pPr>
        <w:pStyle w:val="ListParagraph"/>
      </w:pPr>
      <w:r w:rsidRPr="00D57076">
        <w:t>Details of the £63.168 million slippage are shown below:</w:t>
      </w:r>
    </w:p>
    <w:p w:rsidR="00AD6658" w:rsidRPr="00293B26" w:rsidRDefault="00C12317" w:rsidP="00BA4C80">
      <w:pPr>
        <w:pStyle w:val="ListParagraph"/>
        <w:numPr>
          <w:ilvl w:val="0"/>
          <w:numId w:val="0"/>
        </w:numPr>
        <w:ind w:left="426"/>
        <w:rPr>
          <w:b/>
          <w:color w:val="auto"/>
        </w:rPr>
      </w:pPr>
      <w:r w:rsidRPr="00293B26">
        <w:rPr>
          <w:color w:val="000000" w:themeColor="text1"/>
        </w:rPr>
        <w:t xml:space="preserve">  </w:t>
      </w:r>
      <w:r w:rsidR="00A66877" w:rsidRPr="00293B26">
        <w:rPr>
          <w:b/>
          <w:color w:val="auto"/>
        </w:rPr>
        <w:t>GENERAL FUND</w:t>
      </w:r>
    </w:p>
    <w:p w:rsidR="003C2197" w:rsidRPr="00DB5C45" w:rsidRDefault="003C2197" w:rsidP="003C2197">
      <w:pPr>
        <w:pStyle w:val="ListParagraph"/>
        <w:numPr>
          <w:ilvl w:val="0"/>
          <w:numId w:val="36"/>
        </w:numPr>
        <w:rPr>
          <w:color w:val="auto"/>
        </w:rPr>
      </w:pPr>
      <w:r w:rsidRPr="00DB5C45">
        <w:rPr>
          <w:b/>
          <w:color w:val="auto"/>
        </w:rPr>
        <w:t xml:space="preserve">Housing company loans </w:t>
      </w:r>
      <w:r w:rsidRPr="00DB5C45">
        <w:rPr>
          <w:color w:val="auto"/>
        </w:rPr>
        <w:t>– Substantial loans to the housing company were included in the Capital Programme, but after the decision of the government to lift the HRA borrowing cap, the Council took time to review its approach to housing delivery, meaning that the £38.748 million of loans were not made in the 2018/19 financial year;</w:t>
      </w:r>
    </w:p>
    <w:p w:rsidR="00FA578E" w:rsidRDefault="00FA578E" w:rsidP="00AD6658">
      <w:pPr>
        <w:pStyle w:val="ListParagraph"/>
        <w:numPr>
          <w:ilvl w:val="0"/>
          <w:numId w:val="36"/>
        </w:numPr>
        <w:rPr>
          <w:color w:val="auto"/>
        </w:rPr>
      </w:pPr>
      <w:r w:rsidRPr="00195CED">
        <w:rPr>
          <w:b/>
          <w:color w:val="auto"/>
        </w:rPr>
        <w:t>ICT project</w:t>
      </w:r>
      <w:r w:rsidR="00BA4C80" w:rsidRPr="00195CED">
        <w:rPr>
          <w:b/>
          <w:color w:val="auto"/>
        </w:rPr>
        <w:t>s (various)</w:t>
      </w:r>
      <w:r w:rsidRPr="00195CED">
        <w:rPr>
          <w:b/>
          <w:color w:val="auto"/>
        </w:rPr>
        <w:t xml:space="preserve"> </w:t>
      </w:r>
      <w:r w:rsidR="005611B8" w:rsidRPr="00195CED">
        <w:rPr>
          <w:color w:val="auto"/>
        </w:rPr>
        <w:t xml:space="preserve">– </w:t>
      </w:r>
      <w:r w:rsidR="00BA4C80" w:rsidRPr="00195CED">
        <w:rPr>
          <w:color w:val="auto"/>
        </w:rPr>
        <w:t>£</w:t>
      </w:r>
      <w:r w:rsidR="00EB59E9">
        <w:rPr>
          <w:color w:val="auto"/>
        </w:rPr>
        <w:t>0.600</w:t>
      </w:r>
      <w:r w:rsidRPr="00195CED">
        <w:rPr>
          <w:color w:val="auto"/>
        </w:rPr>
        <w:t xml:space="preserve"> million</w:t>
      </w:r>
      <w:r w:rsidR="00EB59E9">
        <w:rPr>
          <w:color w:val="auto"/>
        </w:rPr>
        <w:t xml:space="preserve"> slippage in total </w:t>
      </w:r>
      <w:r w:rsidR="00225A4F">
        <w:rPr>
          <w:color w:val="auto"/>
        </w:rPr>
        <w:t xml:space="preserve">largely </w:t>
      </w:r>
      <w:r w:rsidR="00EB59E9">
        <w:rPr>
          <w:color w:val="auto"/>
        </w:rPr>
        <w:t>relating to Customer Relationship Management System (CRM)</w:t>
      </w:r>
      <w:r w:rsidR="00225A4F">
        <w:rPr>
          <w:color w:val="auto"/>
        </w:rPr>
        <w:t xml:space="preserve"> £0.2 million and  End User Devices £0.300 million which have yet to commence </w:t>
      </w:r>
    </w:p>
    <w:p w:rsidR="00DD6652" w:rsidRPr="00195CED" w:rsidRDefault="00DD6652" w:rsidP="00AD6658">
      <w:pPr>
        <w:pStyle w:val="ListParagraph"/>
        <w:numPr>
          <w:ilvl w:val="0"/>
          <w:numId w:val="36"/>
        </w:numPr>
        <w:rPr>
          <w:color w:val="auto"/>
        </w:rPr>
      </w:pPr>
      <w:proofErr w:type="spellStart"/>
      <w:r>
        <w:rPr>
          <w:b/>
          <w:color w:val="auto"/>
        </w:rPr>
        <w:t>Oxpens</w:t>
      </w:r>
      <w:proofErr w:type="spellEnd"/>
      <w:r>
        <w:rPr>
          <w:b/>
          <w:color w:val="auto"/>
        </w:rPr>
        <w:t xml:space="preserve"> </w:t>
      </w:r>
      <w:r w:rsidRPr="00DD6652">
        <w:rPr>
          <w:color w:val="auto"/>
        </w:rPr>
        <w:t>-</w:t>
      </w:r>
      <w:r w:rsidR="00D96B11">
        <w:rPr>
          <w:color w:val="auto"/>
        </w:rPr>
        <w:t xml:space="preserve"> £4.1 million adverse variance </w:t>
      </w:r>
      <w:r w:rsidR="00F0529A">
        <w:rPr>
          <w:color w:val="auto"/>
        </w:rPr>
        <w:t xml:space="preserve">– purchase of land </w:t>
      </w:r>
      <w:r w:rsidR="00D96B11">
        <w:rPr>
          <w:color w:val="auto"/>
        </w:rPr>
        <w:t xml:space="preserve">slipped from previous year 2017-18 </w:t>
      </w:r>
    </w:p>
    <w:p w:rsidR="00971754" w:rsidRPr="00441210" w:rsidRDefault="005611B8" w:rsidP="00AD6658">
      <w:pPr>
        <w:pStyle w:val="ListParagraph"/>
        <w:numPr>
          <w:ilvl w:val="0"/>
          <w:numId w:val="36"/>
        </w:numPr>
        <w:rPr>
          <w:color w:val="auto"/>
        </w:rPr>
      </w:pPr>
      <w:r w:rsidRPr="00441210">
        <w:rPr>
          <w:b/>
          <w:color w:val="auto"/>
        </w:rPr>
        <w:lastRenderedPageBreak/>
        <w:t>Major capital works at Oxford Covered Market</w:t>
      </w:r>
      <w:r w:rsidR="00251369" w:rsidRPr="00441210">
        <w:rPr>
          <w:b/>
          <w:color w:val="auto"/>
        </w:rPr>
        <w:t xml:space="preserve"> </w:t>
      </w:r>
      <w:r w:rsidR="00A66877" w:rsidRPr="00441210">
        <w:rPr>
          <w:color w:val="auto"/>
        </w:rPr>
        <w:t>–</w:t>
      </w:r>
      <w:r w:rsidR="00251369" w:rsidRPr="00441210">
        <w:rPr>
          <w:color w:val="auto"/>
        </w:rPr>
        <w:t xml:space="preserve"> </w:t>
      </w:r>
      <w:r w:rsidRPr="00441210">
        <w:rPr>
          <w:color w:val="auto"/>
        </w:rPr>
        <w:t>£0.215</w:t>
      </w:r>
      <w:r w:rsidR="00971754" w:rsidRPr="00441210">
        <w:rPr>
          <w:color w:val="auto"/>
        </w:rPr>
        <w:t xml:space="preserve"> million</w:t>
      </w:r>
      <w:r w:rsidR="006B3EBB" w:rsidRPr="00441210">
        <w:rPr>
          <w:color w:val="auto"/>
        </w:rPr>
        <w:t xml:space="preserve"> slippage</w:t>
      </w:r>
      <w:r w:rsidR="00441210" w:rsidRPr="00441210">
        <w:rPr>
          <w:color w:val="auto"/>
        </w:rPr>
        <w:t xml:space="preserve"> on</w:t>
      </w:r>
      <w:r w:rsidR="000E6150">
        <w:rPr>
          <w:color w:val="auto"/>
        </w:rPr>
        <w:t xml:space="preserve"> </w:t>
      </w:r>
      <w:r w:rsidRPr="00441210">
        <w:rPr>
          <w:color w:val="auto"/>
        </w:rPr>
        <w:t>work carried out in year to split some units and further work to improve the interior to be carried out in 2019/20</w:t>
      </w:r>
      <w:r w:rsidR="00971754" w:rsidRPr="00441210">
        <w:rPr>
          <w:color w:val="auto"/>
        </w:rPr>
        <w:t>;</w:t>
      </w:r>
      <w:r w:rsidR="00441210" w:rsidRPr="00441210">
        <w:rPr>
          <w:color w:val="auto"/>
        </w:rPr>
        <w:t xml:space="preserve"> </w:t>
      </w:r>
      <w:r w:rsidR="00971754" w:rsidRPr="00441210">
        <w:rPr>
          <w:color w:val="auto"/>
        </w:rPr>
        <w:t>£</w:t>
      </w:r>
      <w:r w:rsidRPr="00441210">
        <w:rPr>
          <w:color w:val="auto"/>
        </w:rPr>
        <w:t>0.231 mil</w:t>
      </w:r>
      <w:r w:rsidR="00971754" w:rsidRPr="00441210">
        <w:rPr>
          <w:color w:val="auto"/>
        </w:rPr>
        <w:t>lion slippage</w:t>
      </w:r>
      <w:r w:rsidRPr="00441210">
        <w:rPr>
          <w:color w:val="auto"/>
        </w:rPr>
        <w:t xml:space="preserve"> on the Covered Market Roof, the project spans over four years and started in January 2019;</w:t>
      </w:r>
    </w:p>
    <w:p w:rsidR="00F93CA3" w:rsidRDefault="00911B00" w:rsidP="00953287">
      <w:pPr>
        <w:pStyle w:val="ListParagraph"/>
        <w:numPr>
          <w:ilvl w:val="0"/>
          <w:numId w:val="36"/>
        </w:numPr>
        <w:rPr>
          <w:color w:val="auto"/>
        </w:rPr>
      </w:pPr>
      <w:r w:rsidRPr="00911B00">
        <w:rPr>
          <w:b/>
          <w:color w:val="auto"/>
        </w:rPr>
        <w:t>1 – 5 George Street</w:t>
      </w:r>
      <w:r w:rsidR="00F93CA3" w:rsidRPr="00911B00">
        <w:rPr>
          <w:b/>
          <w:color w:val="auto"/>
        </w:rPr>
        <w:t xml:space="preserve"> </w:t>
      </w:r>
      <w:r w:rsidR="00D413B8" w:rsidRPr="00911B00">
        <w:rPr>
          <w:color w:val="auto"/>
        </w:rPr>
        <w:t>–</w:t>
      </w:r>
      <w:r w:rsidR="00F93CA3" w:rsidRPr="00911B00">
        <w:rPr>
          <w:color w:val="auto"/>
        </w:rPr>
        <w:t xml:space="preserve"> </w:t>
      </w:r>
      <w:r w:rsidRPr="00911B00">
        <w:rPr>
          <w:color w:val="auto"/>
        </w:rPr>
        <w:t>£</w:t>
      </w:r>
      <w:r w:rsidR="00697F1B">
        <w:rPr>
          <w:color w:val="auto"/>
        </w:rPr>
        <w:t>3.183</w:t>
      </w:r>
      <w:r w:rsidR="00F93CA3" w:rsidRPr="00911B00">
        <w:rPr>
          <w:color w:val="auto"/>
        </w:rPr>
        <w:t xml:space="preserve"> million</w:t>
      </w:r>
      <w:r w:rsidR="00D413B8" w:rsidRPr="00911B00">
        <w:rPr>
          <w:color w:val="auto"/>
        </w:rPr>
        <w:t xml:space="preserve"> slippage into 201</w:t>
      </w:r>
      <w:r w:rsidRPr="00911B00">
        <w:rPr>
          <w:color w:val="auto"/>
        </w:rPr>
        <w:t>9</w:t>
      </w:r>
      <w:r w:rsidR="00D413B8" w:rsidRPr="00911B00">
        <w:rPr>
          <w:color w:val="auto"/>
        </w:rPr>
        <w:t>/</w:t>
      </w:r>
      <w:r w:rsidRPr="00911B00">
        <w:rPr>
          <w:color w:val="auto"/>
        </w:rPr>
        <w:t xml:space="preserve">20 whilst the </w:t>
      </w:r>
      <w:r w:rsidRPr="005F6C06">
        <w:rPr>
          <w:color w:val="auto"/>
        </w:rPr>
        <w:t>scheme is under review;</w:t>
      </w:r>
    </w:p>
    <w:p w:rsidR="00C13896" w:rsidRPr="005F6C06" w:rsidRDefault="00C13896" w:rsidP="00953287">
      <w:pPr>
        <w:pStyle w:val="ListParagraph"/>
        <w:numPr>
          <w:ilvl w:val="0"/>
          <w:numId w:val="36"/>
        </w:numPr>
        <w:rPr>
          <w:color w:val="auto"/>
        </w:rPr>
      </w:pPr>
      <w:r>
        <w:rPr>
          <w:b/>
          <w:color w:val="auto"/>
        </w:rPr>
        <w:t xml:space="preserve">Cave Street </w:t>
      </w:r>
      <w:r w:rsidRPr="00EB59E9">
        <w:rPr>
          <w:color w:val="auto"/>
        </w:rPr>
        <w:t>-</w:t>
      </w:r>
      <w:r>
        <w:rPr>
          <w:color w:val="auto"/>
        </w:rPr>
        <w:t xml:space="preserve"> £2.046 million </w:t>
      </w:r>
      <w:r w:rsidR="00D96B11">
        <w:rPr>
          <w:color w:val="auto"/>
        </w:rPr>
        <w:t xml:space="preserve">underspend </w:t>
      </w:r>
      <w:r w:rsidR="00F0529A">
        <w:rPr>
          <w:color w:val="auto"/>
        </w:rPr>
        <w:t xml:space="preserve">- </w:t>
      </w:r>
      <w:r>
        <w:rPr>
          <w:color w:val="auto"/>
        </w:rPr>
        <w:t xml:space="preserve">scheme </w:t>
      </w:r>
      <w:r w:rsidR="00D96B11">
        <w:rPr>
          <w:color w:val="auto"/>
        </w:rPr>
        <w:t>not currently progressing</w:t>
      </w:r>
      <w:r>
        <w:rPr>
          <w:color w:val="auto"/>
        </w:rPr>
        <w:t>;</w:t>
      </w:r>
    </w:p>
    <w:p w:rsidR="00911B00" w:rsidRPr="00DB5C45" w:rsidRDefault="00911B00" w:rsidP="00971754">
      <w:pPr>
        <w:pStyle w:val="ListParagraph"/>
        <w:numPr>
          <w:ilvl w:val="0"/>
          <w:numId w:val="36"/>
        </w:numPr>
        <w:rPr>
          <w:color w:val="auto"/>
        </w:rPr>
      </w:pPr>
      <w:r w:rsidRPr="00195CED">
        <w:rPr>
          <w:b/>
          <w:color w:val="auto"/>
        </w:rPr>
        <w:t xml:space="preserve">Phase 1 Affordable Housing at Barton Park </w:t>
      </w:r>
      <w:r w:rsidRPr="00195CED">
        <w:rPr>
          <w:color w:val="auto"/>
        </w:rPr>
        <w:t>- £</w:t>
      </w:r>
      <w:r w:rsidR="00697F1B">
        <w:rPr>
          <w:color w:val="auto"/>
        </w:rPr>
        <w:t>6.062</w:t>
      </w:r>
      <w:r w:rsidRPr="00195CED">
        <w:rPr>
          <w:color w:val="auto"/>
        </w:rPr>
        <w:t xml:space="preserve"> million slippage</w:t>
      </w:r>
      <w:r w:rsidR="005F6C06" w:rsidRPr="00195CED">
        <w:rPr>
          <w:color w:val="auto"/>
        </w:rPr>
        <w:t xml:space="preserve">, Hills development has started to deliver with 22 homes </w:t>
      </w:r>
      <w:r w:rsidR="005F6C06" w:rsidRPr="00DB5C45">
        <w:rPr>
          <w:color w:val="auto"/>
        </w:rPr>
        <w:t>transferred in 18/19 and further properties to transfer in April 2019;</w:t>
      </w:r>
    </w:p>
    <w:p w:rsidR="00C13896" w:rsidRPr="00195CED" w:rsidRDefault="00C13896" w:rsidP="00971754">
      <w:pPr>
        <w:pStyle w:val="ListParagraph"/>
        <w:numPr>
          <w:ilvl w:val="0"/>
          <w:numId w:val="36"/>
        </w:numPr>
        <w:rPr>
          <w:color w:val="auto"/>
        </w:rPr>
      </w:pPr>
      <w:r>
        <w:rPr>
          <w:b/>
          <w:color w:val="auto"/>
        </w:rPr>
        <w:t xml:space="preserve">Purchase of homeless properties </w:t>
      </w:r>
      <w:r w:rsidRPr="00EB59E9">
        <w:rPr>
          <w:color w:val="auto"/>
        </w:rPr>
        <w:t>-</w:t>
      </w:r>
      <w:r>
        <w:rPr>
          <w:color w:val="auto"/>
        </w:rPr>
        <w:t xml:space="preserve"> £0.510 million slippage into 19/20 to fund future purchases;</w:t>
      </w:r>
    </w:p>
    <w:p w:rsidR="00A81CC3" w:rsidRDefault="00A81CC3" w:rsidP="00971754">
      <w:pPr>
        <w:pStyle w:val="ListParagraph"/>
        <w:numPr>
          <w:ilvl w:val="0"/>
          <w:numId w:val="36"/>
        </w:numPr>
        <w:rPr>
          <w:color w:val="auto"/>
        </w:rPr>
      </w:pPr>
      <w:r w:rsidRPr="00195CED">
        <w:rPr>
          <w:b/>
          <w:color w:val="auto"/>
        </w:rPr>
        <w:t>Barton</w:t>
      </w:r>
      <w:r w:rsidRPr="00A81CC3">
        <w:rPr>
          <w:b/>
          <w:color w:val="auto"/>
        </w:rPr>
        <w:t xml:space="preserve"> Community Centre </w:t>
      </w:r>
      <w:r w:rsidRPr="00A81CC3">
        <w:rPr>
          <w:color w:val="auto"/>
        </w:rPr>
        <w:t>- £</w:t>
      </w:r>
      <w:r w:rsidR="00697F1B">
        <w:rPr>
          <w:color w:val="auto"/>
        </w:rPr>
        <w:t xml:space="preserve">1.064 </w:t>
      </w:r>
      <w:r w:rsidR="00EB59E9">
        <w:rPr>
          <w:color w:val="auto"/>
        </w:rPr>
        <w:t xml:space="preserve">million </w:t>
      </w:r>
      <w:r w:rsidR="00D96B11">
        <w:rPr>
          <w:color w:val="auto"/>
        </w:rPr>
        <w:t xml:space="preserve">adverse </w:t>
      </w:r>
      <w:r w:rsidR="00697F1B">
        <w:rPr>
          <w:color w:val="auto"/>
        </w:rPr>
        <w:t>vari</w:t>
      </w:r>
      <w:r w:rsidR="00297FB0">
        <w:rPr>
          <w:color w:val="auto"/>
        </w:rPr>
        <w:t>ance to original budget</w:t>
      </w:r>
      <w:r w:rsidR="00D96B11">
        <w:rPr>
          <w:color w:val="auto"/>
        </w:rPr>
        <w:t xml:space="preserve"> carried forward from previous year 2017-18. P</w:t>
      </w:r>
      <w:r w:rsidRPr="00A81CC3">
        <w:rPr>
          <w:color w:val="auto"/>
        </w:rPr>
        <w:t>roject complete</w:t>
      </w:r>
      <w:r w:rsidR="00D96B11">
        <w:rPr>
          <w:color w:val="auto"/>
        </w:rPr>
        <w:t>d</w:t>
      </w:r>
      <w:r w:rsidRPr="00A81CC3">
        <w:rPr>
          <w:color w:val="auto"/>
        </w:rPr>
        <w:t xml:space="preserve"> in April 2019;</w:t>
      </w:r>
    </w:p>
    <w:p w:rsidR="00A81CC3" w:rsidRPr="00195CED" w:rsidRDefault="00A81CC3" w:rsidP="00971754">
      <w:pPr>
        <w:pStyle w:val="ListParagraph"/>
        <w:numPr>
          <w:ilvl w:val="0"/>
          <w:numId w:val="36"/>
        </w:numPr>
        <w:rPr>
          <w:color w:val="auto"/>
        </w:rPr>
      </w:pPr>
      <w:r w:rsidRPr="00195CED">
        <w:rPr>
          <w:b/>
          <w:color w:val="auto"/>
        </w:rPr>
        <w:t xml:space="preserve">Horspath Sports Park </w:t>
      </w:r>
      <w:r w:rsidRPr="00195CED">
        <w:rPr>
          <w:color w:val="auto"/>
        </w:rPr>
        <w:t>– £0.</w:t>
      </w:r>
      <w:r w:rsidR="00D96B11">
        <w:rPr>
          <w:color w:val="auto"/>
        </w:rPr>
        <w:t>600</w:t>
      </w:r>
      <w:r w:rsidRPr="00195CED">
        <w:rPr>
          <w:color w:val="auto"/>
        </w:rPr>
        <w:t xml:space="preserve"> million </w:t>
      </w:r>
      <w:r w:rsidR="00D96B11">
        <w:rPr>
          <w:color w:val="auto"/>
        </w:rPr>
        <w:t xml:space="preserve">adverse variance </w:t>
      </w:r>
      <w:r w:rsidRPr="00195CED">
        <w:rPr>
          <w:color w:val="auto"/>
        </w:rPr>
        <w:t>due to delays st</w:t>
      </w:r>
      <w:r w:rsidR="00D96B11">
        <w:rPr>
          <w:color w:val="auto"/>
        </w:rPr>
        <w:t>arting the work at the junction</w:t>
      </w:r>
      <w:r w:rsidRPr="00195CED">
        <w:rPr>
          <w:color w:val="auto"/>
        </w:rPr>
        <w:t xml:space="preserve"> </w:t>
      </w:r>
      <w:r w:rsidR="00D96B11">
        <w:rPr>
          <w:color w:val="auto"/>
        </w:rPr>
        <w:t>and original budget carried forward from previous year 2017-18</w:t>
      </w:r>
      <w:r w:rsidRPr="00195CED">
        <w:rPr>
          <w:color w:val="auto"/>
        </w:rPr>
        <w:t>;</w:t>
      </w:r>
    </w:p>
    <w:p w:rsidR="00D7046B" w:rsidRDefault="00D7046B" w:rsidP="00971754">
      <w:pPr>
        <w:pStyle w:val="ListParagraph"/>
        <w:numPr>
          <w:ilvl w:val="0"/>
          <w:numId w:val="36"/>
        </w:numPr>
        <w:rPr>
          <w:color w:val="auto"/>
        </w:rPr>
      </w:pPr>
      <w:r>
        <w:rPr>
          <w:b/>
          <w:color w:val="auto"/>
        </w:rPr>
        <w:t xml:space="preserve">Recycling waste transfer station – </w:t>
      </w:r>
      <w:r w:rsidRPr="00D7046B">
        <w:rPr>
          <w:color w:val="auto"/>
        </w:rPr>
        <w:t>slippage of £</w:t>
      </w:r>
      <w:r w:rsidR="00297FB0">
        <w:rPr>
          <w:color w:val="auto"/>
        </w:rPr>
        <w:t>2.115</w:t>
      </w:r>
      <w:r w:rsidRPr="00D7046B">
        <w:rPr>
          <w:color w:val="auto"/>
        </w:rPr>
        <w:t xml:space="preserve"> million</w:t>
      </w:r>
      <w:r w:rsidR="004227AD">
        <w:rPr>
          <w:color w:val="auto"/>
        </w:rPr>
        <w:t xml:space="preserve"> as the design work is now on hold pending the impact of the Depot rationalisation project;</w:t>
      </w:r>
    </w:p>
    <w:p w:rsidR="00297FB0" w:rsidRDefault="00297FB0" w:rsidP="00971754">
      <w:pPr>
        <w:pStyle w:val="ListParagraph"/>
        <w:numPr>
          <w:ilvl w:val="0"/>
          <w:numId w:val="36"/>
        </w:numPr>
        <w:rPr>
          <w:color w:val="auto"/>
        </w:rPr>
      </w:pPr>
      <w:proofErr w:type="spellStart"/>
      <w:r>
        <w:rPr>
          <w:b/>
          <w:color w:val="auto"/>
        </w:rPr>
        <w:t>Bullingdon</w:t>
      </w:r>
      <w:proofErr w:type="spellEnd"/>
      <w:r>
        <w:rPr>
          <w:b/>
          <w:color w:val="auto"/>
        </w:rPr>
        <w:t xml:space="preserve"> Community Centre –</w:t>
      </w:r>
      <w:r>
        <w:rPr>
          <w:color w:val="auto"/>
        </w:rPr>
        <w:t xml:space="preserve"> slippage of £0.356 million into 19/20;</w:t>
      </w:r>
    </w:p>
    <w:p w:rsidR="00297FB0" w:rsidRDefault="00297FB0" w:rsidP="00971754">
      <w:pPr>
        <w:pStyle w:val="ListParagraph"/>
        <w:numPr>
          <w:ilvl w:val="0"/>
          <w:numId w:val="36"/>
        </w:numPr>
        <w:rPr>
          <w:color w:val="auto"/>
        </w:rPr>
      </w:pPr>
      <w:r>
        <w:rPr>
          <w:b/>
          <w:color w:val="auto"/>
        </w:rPr>
        <w:t>East Oxford Community Centre –</w:t>
      </w:r>
      <w:r>
        <w:rPr>
          <w:color w:val="auto"/>
        </w:rPr>
        <w:t xml:space="preserve"> slippage of £3.978 million into future years</w:t>
      </w:r>
    </w:p>
    <w:p w:rsidR="00C13896" w:rsidRDefault="00C13896" w:rsidP="00971754">
      <w:pPr>
        <w:pStyle w:val="ListParagraph"/>
        <w:numPr>
          <w:ilvl w:val="0"/>
          <w:numId w:val="36"/>
        </w:numPr>
        <w:rPr>
          <w:color w:val="auto"/>
        </w:rPr>
      </w:pPr>
      <w:proofErr w:type="spellStart"/>
      <w:r>
        <w:rPr>
          <w:b/>
          <w:color w:val="auto"/>
        </w:rPr>
        <w:t>Seacourt</w:t>
      </w:r>
      <w:proofErr w:type="spellEnd"/>
      <w:r>
        <w:rPr>
          <w:b/>
          <w:color w:val="auto"/>
        </w:rPr>
        <w:t xml:space="preserve"> Park and Ride -</w:t>
      </w:r>
      <w:r>
        <w:rPr>
          <w:color w:val="auto"/>
        </w:rPr>
        <w:t xml:space="preserve"> £3.236 million slipped into future years due to delays on the project;</w:t>
      </w:r>
    </w:p>
    <w:p w:rsidR="00C13896" w:rsidRDefault="00C13896" w:rsidP="00971754">
      <w:pPr>
        <w:pStyle w:val="ListParagraph"/>
        <w:numPr>
          <w:ilvl w:val="0"/>
          <w:numId w:val="36"/>
        </w:numPr>
        <w:rPr>
          <w:color w:val="auto"/>
        </w:rPr>
      </w:pPr>
      <w:r>
        <w:rPr>
          <w:b/>
          <w:color w:val="auto"/>
        </w:rPr>
        <w:t>Go Low Ultra/Taxis -</w:t>
      </w:r>
      <w:r>
        <w:rPr>
          <w:color w:val="auto"/>
        </w:rPr>
        <w:t xml:space="preserve"> £0.908 million slippage across the two schemes, due to delays in progress of the schemes;</w:t>
      </w:r>
    </w:p>
    <w:p w:rsidR="00AC2F1C" w:rsidRDefault="00AC2F1C" w:rsidP="00971754">
      <w:pPr>
        <w:pStyle w:val="ListParagraph"/>
        <w:numPr>
          <w:ilvl w:val="0"/>
          <w:numId w:val="36"/>
        </w:numPr>
        <w:rPr>
          <w:color w:val="auto"/>
        </w:rPr>
      </w:pPr>
      <w:r>
        <w:rPr>
          <w:b/>
          <w:color w:val="auto"/>
        </w:rPr>
        <w:t>Purchase of Homes for homeless families -</w:t>
      </w:r>
      <w:r>
        <w:rPr>
          <w:color w:val="auto"/>
        </w:rPr>
        <w:t xml:space="preserve"> £2.500 million adverse variance due to slippage of purchase from 2017-18</w:t>
      </w:r>
    </w:p>
    <w:p w:rsidR="00AC2F1C" w:rsidRDefault="00AC2F1C" w:rsidP="00971754">
      <w:pPr>
        <w:pStyle w:val="ListParagraph"/>
        <w:numPr>
          <w:ilvl w:val="0"/>
          <w:numId w:val="36"/>
        </w:numPr>
        <w:rPr>
          <w:color w:val="auto"/>
        </w:rPr>
      </w:pPr>
      <w:r>
        <w:rPr>
          <w:b/>
          <w:color w:val="auto"/>
        </w:rPr>
        <w:t>Westgate Public Realm -</w:t>
      </w:r>
      <w:r>
        <w:rPr>
          <w:color w:val="auto"/>
        </w:rPr>
        <w:t xml:space="preserve"> £1.134 million adverse variance due to slippage of payment of Section 106 monies from 2017-18</w:t>
      </w:r>
    </w:p>
    <w:p w:rsidR="00AC2F1C" w:rsidRDefault="00AC2F1C" w:rsidP="00971754">
      <w:pPr>
        <w:pStyle w:val="ListParagraph"/>
        <w:numPr>
          <w:ilvl w:val="0"/>
          <w:numId w:val="36"/>
        </w:numPr>
        <w:rPr>
          <w:color w:val="auto"/>
        </w:rPr>
      </w:pPr>
      <w:r>
        <w:rPr>
          <w:b/>
          <w:color w:val="auto"/>
        </w:rPr>
        <w:t>Disabled Facilities Grants -</w:t>
      </w:r>
      <w:r>
        <w:rPr>
          <w:color w:val="auto"/>
        </w:rPr>
        <w:t xml:space="preserve"> £0.574 million of slippage on spend into future years </w:t>
      </w:r>
    </w:p>
    <w:p w:rsidR="00A66877" w:rsidRPr="00D977D6" w:rsidRDefault="00A66877" w:rsidP="00EE1828">
      <w:pPr>
        <w:ind w:firstLine="720"/>
        <w:rPr>
          <w:b/>
          <w:color w:val="auto"/>
        </w:rPr>
      </w:pPr>
      <w:r w:rsidRPr="00D977D6">
        <w:rPr>
          <w:b/>
          <w:color w:val="auto"/>
        </w:rPr>
        <w:t>HRA</w:t>
      </w:r>
    </w:p>
    <w:p w:rsidR="00AD6658" w:rsidRPr="00D977D6" w:rsidRDefault="004227AD" w:rsidP="00AD6658">
      <w:pPr>
        <w:pStyle w:val="ListParagraph"/>
        <w:numPr>
          <w:ilvl w:val="0"/>
          <w:numId w:val="36"/>
        </w:numPr>
        <w:rPr>
          <w:color w:val="auto"/>
        </w:rPr>
      </w:pPr>
      <w:r w:rsidRPr="00D977D6">
        <w:rPr>
          <w:b/>
          <w:color w:val="auto"/>
        </w:rPr>
        <w:t>Roofing</w:t>
      </w:r>
      <w:r w:rsidR="00AD6658" w:rsidRPr="00D977D6">
        <w:rPr>
          <w:b/>
          <w:color w:val="auto"/>
        </w:rPr>
        <w:t xml:space="preserve"> </w:t>
      </w:r>
      <w:r w:rsidR="006B3EBB" w:rsidRPr="00D977D6">
        <w:rPr>
          <w:color w:val="auto"/>
        </w:rPr>
        <w:t>–</w:t>
      </w:r>
      <w:r w:rsidR="00AD6658" w:rsidRPr="00D977D6">
        <w:rPr>
          <w:color w:val="auto"/>
        </w:rPr>
        <w:t xml:space="preserve"> £</w:t>
      </w:r>
      <w:r w:rsidR="00953287" w:rsidRPr="00D977D6">
        <w:rPr>
          <w:color w:val="auto"/>
        </w:rPr>
        <w:t>0</w:t>
      </w:r>
      <w:r w:rsidR="006B3EBB" w:rsidRPr="00D977D6">
        <w:rPr>
          <w:color w:val="auto"/>
        </w:rPr>
        <w:t>.</w:t>
      </w:r>
      <w:r w:rsidRPr="00D977D6">
        <w:rPr>
          <w:color w:val="auto"/>
        </w:rPr>
        <w:t>100</w:t>
      </w:r>
      <w:r w:rsidR="00AD6658" w:rsidRPr="00D977D6">
        <w:rPr>
          <w:color w:val="auto"/>
        </w:rPr>
        <w:t xml:space="preserve"> million </w:t>
      </w:r>
      <w:r w:rsidR="006B3EBB" w:rsidRPr="00D977D6">
        <w:rPr>
          <w:color w:val="auto"/>
        </w:rPr>
        <w:t>slippage,</w:t>
      </w:r>
      <w:r w:rsidR="00953287" w:rsidRPr="00D977D6">
        <w:rPr>
          <w:color w:val="auto"/>
        </w:rPr>
        <w:t xml:space="preserve"> </w:t>
      </w:r>
      <w:r w:rsidRPr="00D977D6">
        <w:rPr>
          <w:color w:val="auto"/>
        </w:rPr>
        <w:t>final phase of 18/19 to be completed in early 2019/20</w:t>
      </w:r>
      <w:r w:rsidR="00953287" w:rsidRPr="00D977D6">
        <w:rPr>
          <w:color w:val="auto"/>
        </w:rPr>
        <w:t>;</w:t>
      </w:r>
    </w:p>
    <w:p w:rsidR="004227AD" w:rsidRPr="00D977D6" w:rsidRDefault="004227AD" w:rsidP="00AD6658">
      <w:pPr>
        <w:pStyle w:val="ListParagraph"/>
        <w:numPr>
          <w:ilvl w:val="0"/>
          <w:numId w:val="36"/>
        </w:numPr>
        <w:rPr>
          <w:color w:val="auto"/>
        </w:rPr>
      </w:pPr>
      <w:r w:rsidRPr="00D977D6">
        <w:rPr>
          <w:b/>
          <w:color w:val="auto"/>
        </w:rPr>
        <w:t xml:space="preserve">Doors and windows </w:t>
      </w:r>
      <w:r w:rsidRPr="00D977D6">
        <w:rPr>
          <w:color w:val="auto"/>
        </w:rPr>
        <w:t>- £0.180 million slippage, budget being held and rolled forward for possible fire door works in 19/20;</w:t>
      </w:r>
    </w:p>
    <w:p w:rsidR="004227AD" w:rsidRPr="00D977D6" w:rsidRDefault="004227AD" w:rsidP="00AD6658">
      <w:pPr>
        <w:pStyle w:val="ListParagraph"/>
        <w:numPr>
          <w:ilvl w:val="0"/>
          <w:numId w:val="36"/>
        </w:numPr>
        <w:rPr>
          <w:color w:val="auto"/>
        </w:rPr>
      </w:pPr>
      <w:r w:rsidRPr="00D977D6">
        <w:rPr>
          <w:b/>
          <w:color w:val="auto"/>
        </w:rPr>
        <w:lastRenderedPageBreak/>
        <w:t xml:space="preserve">Lift replacement programme </w:t>
      </w:r>
      <w:r w:rsidRPr="00D977D6">
        <w:rPr>
          <w:color w:val="auto"/>
        </w:rPr>
        <w:t>- £0.147 million underspend on the scheme;</w:t>
      </w:r>
    </w:p>
    <w:p w:rsidR="004227AD" w:rsidRDefault="004227AD" w:rsidP="00AD6658">
      <w:pPr>
        <w:pStyle w:val="ListParagraph"/>
        <w:numPr>
          <w:ilvl w:val="0"/>
          <w:numId w:val="36"/>
        </w:numPr>
        <w:rPr>
          <w:color w:val="auto"/>
        </w:rPr>
      </w:pPr>
      <w:r w:rsidRPr="00D977D6">
        <w:rPr>
          <w:b/>
          <w:color w:val="auto"/>
        </w:rPr>
        <w:t>Compulsory purchase of proper</w:t>
      </w:r>
      <w:r w:rsidR="00D977D6" w:rsidRPr="00D977D6">
        <w:rPr>
          <w:b/>
          <w:color w:val="auto"/>
        </w:rPr>
        <w:t>t</w:t>
      </w:r>
      <w:r w:rsidRPr="00D977D6">
        <w:rPr>
          <w:b/>
          <w:color w:val="auto"/>
        </w:rPr>
        <w:t xml:space="preserve">y </w:t>
      </w:r>
      <w:r w:rsidRPr="00D977D6">
        <w:rPr>
          <w:color w:val="auto"/>
        </w:rPr>
        <w:t>- £0.</w:t>
      </w:r>
      <w:r w:rsidR="00EC3957">
        <w:rPr>
          <w:color w:val="auto"/>
        </w:rPr>
        <w:t>612</w:t>
      </w:r>
      <w:r w:rsidRPr="00D977D6">
        <w:rPr>
          <w:color w:val="auto"/>
        </w:rPr>
        <w:t xml:space="preserve"> million slippage</w:t>
      </w:r>
      <w:r w:rsidR="00D977D6" w:rsidRPr="00D977D6">
        <w:rPr>
          <w:color w:val="auto"/>
        </w:rPr>
        <w:t>, three extension projects are awaiting building survey works to be completed;</w:t>
      </w:r>
    </w:p>
    <w:p w:rsidR="00EC3957" w:rsidRPr="00D977D6" w:rsidRDefault="00EC3957" w:rsidP="00AD6658">
      <w:pPr>
        <w:pStyle w:val="ListParagraph"/>
        <w:numPr>
          <w:ilvl w:val="0"/>
          <w:numId w:val="36"/>
        </w:numPr>
        <w:rPr>
          <w:color w:val="auto"/>
        </w:rPr>
      </w:pPr>
      <w:r>
        <w:rPr>
          <w:b/>
          <w:color w:val="auto"/>
        </w:rPr>
        <w:t xml:space="preserve">Barton Regeneration </w:t>
      </w:r>
      <w:r w:rsidRPr="00EB59E9">
        <w:rPr>
          <w:color w:val="auto"/>
        </w:rPr>
        <w:t>-</w:t>
      </w:r>
      <w:r>
        <w:rPr>
          <w:color w:val="auto"/>
        </w:rPr>
        <w:t xml:space="preserve"> £0.705 million slippage into future years to continue to meet stakeholder expectation with the development;</w:t>
      </w:r>
    </w:p>
    <w:p w:rsidR="00D977D6" w:rsidRPr="00D977D6" w:rsidRDefault="00D977D6" w:rsidP="00D977D6">
      <w:pPr>
        <w:pStyle w:val="ListParagraph"/>
        <w:numPr>
          <w:ilvl w:val="0"/>
          <w:numId w:val="36"/>
        </w:numPr>
        <w:rPr>
          <w:color w:val="auto"/>
        </w:rPr>
      </w:pPr>
      <w:r w:rsidRPr="00D977D6">
        <w:rPr>
          <w:b/>
          <w:color w:val="auto"/>
        </w:rPr>
        <w:t>Blackbird Leys</w:t>
      </w:r>
      <w:r w:rsidR="00953287" w:rsidRPr="00D977D6">
        <w:rPr>
          <w:b/>
          <w:color w:val="auto"/>
        </w:rPr>
        <w:t xml:space="preserve"> Regeneration </w:t>
      </w:r>
      <w:r w:rsidR="00953287" w:rsidRPr="00D977D6">
        <w:rPr>
          <w:color w:val="auto"/>
        </w:rPr>
        <w:t xml:space="preserve">– </w:t>
      </w:r>
      <w:r w:rsidRPr="00D977D6">
        <w:rPr>
          <w:color w:val="auto"/>
        </w:rPr>
        <w:t>£</w:t>
      </w:r>
      <w:r w:rsidR="00C13896">
        <w:rPr>
          <w:color w:val="auto"/>
        </w:rPr>
        <w:t>1.600</w:t>
      </w:r>
      <w:r w:rsidR="00953287" w:rsidRPr="00D977D6">
        <w:rPr>
          <w:color w:val="auto"/>
        </w:rPr>
        <w:t xml:space="preserve"> million slippage, to enable </w:t>
      </w:r>
      <w:r w:rsidRPr="00D977D6">
        <w:rPr>
          <w:color w:val="auto"/>
        </w:rPr>
        <w:t>to continue to meet stakeholder expectations of works currently sat in differing stages</w:t>
      </w:r>
      <w:r w:rsidR="00EC3957">
        <w:rPr>
          <w:color w:val="auto"/>
        </w:rPr>
        <w:t>;</w:t>
      </w:r>
    </w:p>
    <w:p w:rsidR="00AC2F1C" w:rsidRDefault="00D977D6" w:rsidP="00D977D6">
      <w:pPr>
        <w:pStyle w:val="ListParagraph"/>
        <w:numPr>
          <w:ilvl w:val="0"/>
          <w:numId w:val="36"/>
        </w:numPr>
        <w:rPr>
          <w:color w:val="auto"/>
        </w:rPr>
      </w:pPr>
      <w:r w:rsidRPr="00D977D6">
        <w:rPr>
          <w:b/>
          <w:color w:val="auto"/>
        </w:rPr>
        <w:t xml:space="preserve">Development at Mortimer Drive </w:t>
      </w:r>
      <w:r w:rsidR="00C13896">
        <w:rPr>
          <w:b/>
          <w:color w:val="auto"/>
        </w:rPr>
        <w:t>&amp; Bracegirdle</w:t>
      </w:r>
      <w:r w:rsidRPr="00D977D6">
        <w:rPr>
          <w:color w:val="auto"/>
        </w:rPr>
        <w:t>- £1.</w:t>
      </w:r>
      <w:r w:rsidR="00C13896">
        <w:rPr>
          <w:color w:val="auto"/>
        </w:rPr>
        <w:t>012</w:t>
      </w:r>
      <w:r w:rsidR="00AC2F1C">
        <w:rPr>
          <w:color w:val="auto"/>
        </w:rPr>
        <w:t xml:space="preserve"> million </w:t>
      </w:r>
      <w:r w:rsidRPr="00D977D6">
        <w:rPr>
          <w:color w:val="auto"/>
        </w:rPr>
        <w:t xml:space="preserve"> slippage, scheme is at design stage, with planning permission granted</w:t>
      </w:r>
    </w:p>
    <w:p w:rsidR="00773D35" w:rsidRPr="00D977D6" w:rsidRDefault="00AC2F1C" w:rsidP="00D977D6">
      <w:pPr>
        <w:pStyle w:val="ListParagraph"/>
        <w:numPr>
          <w:ilvl w:val="0"/>
          <w:numId w:val="36"/>
        </w:numPr>
        <w:rPr>
          <w:color w:val="auto"/>
        </w:rPr>
      </w:pPr>
      <w:r>
        <w:rPr>
          <w:b/>
          <w:color w:val="auto"/>
        </w:rPr>
        <w:t>East Oxford Housing Dev</w:t>
      </w:r>
      <w:r w:rsidR="00F0529A">
        <w:rPr>
          <w:b/>
          <w:color w:val="auto"/>
        </w:rPr>
        <w:t>e</w:t>
      </w:r>
      <w:r>
        <w:rPr>
          <w:b/>
          <w:color w:val="auto"/>
        </w:rPr>
        <w:t xml:space="preserve">lopment </w:t>
      </w:r>
      <w:r>
        <w:rPr>
          <w:color w:val="auto"/>
        </w:rPr>
        <w:t>– £5.3 million slippage linked to development of Community Centre</w:t>
      </w:r>
      <w:r w:rsidR="00EC3957">
        <w:rPr>
          <w:color w:val="auto"/>
        </w:rPr>
        <w:t>.</w:t>
      </w:r>
    </w:p>
    <w:p w:rsidR="008D3FE6" w:rsidRPr="00B27F59" w:rsidRDefault="008D3FE6" w:rsidP="008D3FE6">
      <w:pPr>
        <w:pStyle w:val="ListParagraph"/>
        <w:numPr>
          <w:ilvl w:val="0"/>
          <w:numId w:val="0"/>
        </w:numPr>
        <w:ind w:left="426" w:hanging="426"/>
        <w:rPr>
          <w:b/>
          <w:color w:val="auto"/>
        </w:rPr>
      </w:pPr>
      <w:r w:rsidRPr="00B27F59">
        <w:rPr>
          <w:b/>
          <w:color w:val="auto"/>
        </w:rPr>
        <w:t>Performance Management</w:t>
      </w:r>
    </w:p>
    <w:p w:rsidR="00CC118B" w:rsidRPr="00B27F59" w:rsidRDefault="00905148" w:rsidP="00E835AB">
      <w:pPr>
        <w:pStyle w:val="ListParagraph"/>
        <w:rPr>
          <w:color w:val="auto"/>
        </w:rPr>
      </w:pPr>
      <w:r w:rsidRPr="00B27F59">
        <w:rPr>
          <w:color w:val="auto"/>
        </w:rPr>
        <w:t xml:space="preserve">There are </w:t>
      </w:r>
      <w:r w:rsidR="00B27F59" w:rsidRPr="00B27F59">
        <w:rPr>
          <w:color w:val="auto"/>
        </w:rPr>
        <w:t>thirteen</w:t>
      </w:r>
      <w:r w:rsidRPr="00B27F59">
        <w:rPr>
          <w:color w:val="auto"/>
        </w:rPr>
        <w:t xml:space="preserve"> </w:t>
      </w:r>
      <w:r w:rsidR="00775283" w:rsidRPr="00B27F59">
        <w:rPr>
          <w:color w:val="auto"/>
        </w:rPr>
        <w:t>corporate</w:t>
      </w:r>
      <w:r w:rsidR="008D3FE6" w:rsidRPr="00B27F59">
        <w:rPr>
          <w:color w:val="auto"/>
        </w:rPr>
        <w:t xml:space="preserve"> </w:t>
      </w:r>
      <w:r w:rsidR="008D3FE6" w:rsidRPr="00B27F59">
        <w:rPr>
          <w:rFonts w:eastAsia="Calibri"/>
          <w:color w:val="auto"/>
        </w:rPr>
        <w:t>performance</w:t>
      </w:r>
      <w:r w:rsidRPr="00B27F59">
        <w:rPr>
          <w:rFonts w:eastAsia="Calibri"/>
          <w:color w:val="auto"/>
        </w:rPr>
        <w:t xml:space="preserve"> measures tha</w:t>
      </w:r>
      <w:r w:rsidR="007C282E" w:rsidRPr="00B27F59">
        <w:rPr>
          <w:rFonts w:eastAsia="Calibri"/>
          <w:color w:val="auto"/>
        </w:rPr>
        <w:t xml:space="preserve">t </w:t>
      </w:r>
      <w:r w:rsidR="00B73D1D" w:rsidRPr="00B27F59">
        <w:rPr>
          <w:rFonts w:eastAsia="Calibri"/>
          <w:color w:val="auto"/>
        </w:rPr>
        <w:t>were</w:t>
      </w:r>
      <w:r w:rsidR="007C282E" w:rsidRPr="00B27F59">
        <w:rPr>
          <w:rFonts w:eastAsia="Calibri"/>
          <w:color w:val="auto"/>
        </w:rPr>
        <w:t xml:space="preserve"> monitored during the </w:t>
      </w:r>
      <w:r w:rsidR="007C282E" w:rsidRPr="007B2188">
        <w:rPr>
          <w:rFonts w:eastAsia="Calibri"/>
          <w:color w:val="auto"/>
        </w:rPr>
        <w:t>year</w:t>
      </w:r>
      <w:r w:rsidR="00C02347" w:rsidRPr="007B2188">
        <w:rPr>
          <w:rFonts w:eastAsia="Calibri"/>
          <w:color w:val="auto"/>
        </w:rPr>
        <w:t xml:space="preserve"> (Appendix F</w:t>
      </w:r>
      <w:r w:rsidR="00B73D1D" w:rsidRPr="007B2188">
        <w:rPr>
          <w:rFonts w:eastAsia="Calibri"/>
          <w:color w:val="auto"/>
        </w:rPr>
        <w:t>)</w:t>
      </w:r>
      <w:r w:rsidR="008D3FE6" w:rsidRPr="007B2188">
        <w:rPr>
          <w:rFonts w:eastAsia="Calibri"/>
          <w:color w:val="auto"/>
        </w:rPr>
        <w:t xml:space="preserve">. </w:t>
      </w:r>
      <w:r w:rsidR="00B27F59" w:rsidRPr="007B2188">
        <w:rPr>
          <w:rFonts w:eastAsia="Calibri"/>
          <w:color w:val="auto"/>
        </w:rPr>
        <w:t>Ten</w:t>
      </w:r>
      <w:r w:rsidR="008161BB" w:rsidRPr="00B27F59">
        <w:rPr>
          <w:rFonts w:eastAsia="Calibri"/>
          <w:color w:val="auto"/>
        </w:rPr>
        <w:t xml:space="preserve"> </w:t>
      </w:r>
      <w:r w:rsidR="00287FB6" w:rsidRPr="00B27F59">
        <w:rPr>
          <w:rFonts w:eastAsia="Calibri"/>
          <w:color w:val="auto"/>
        </w:rPr>
        <w:t>(</w:t>
      </w:r>
      <w:r w:rsidR="00C02347" w:rsidRPr="00B27F59">
        <w:rPr>
          <w:rFonts w:eastAsia="Calibri"/>
          <w:color w:val="auto"/>
        </w:rPr>
        <w:t>7</w:t>
      </w:r>
      <w:r w:rsidR="00B27F59" w:rsidRPr="00B27F59">
        <w:rPr>
          <w:rFonts w:eastAsia="Calibri"/>
          <w:color w:val="auto"/>
        </w:rPr>
        <w:t>7</w:t>
      </w:r>
      <w:r w:rsidR="00287FB6" w:rsidRPr="00B27F59">
        <w:rPr>
          <w:rFonts w:eastAsia="Calibri"/>
          <w:color w:val="auto"/>
        </w:rPr>
        <w:t xml:space="preserve">%) </w:t>
      </w:r>
      <w:r w:rsidR="00B73D1D" w:rsidRPr="00B27F59">
        <w:rPr>
          <w:rFonts w:eastAsia="Calibri"/>
          <w:color w:val="auto"/>
        </w:rPr>
        <w:t>were</w:t>
      </w:r>
      <w:r w:rsidR="00A86331" w:rsidRPr="00B27F59">
        <w:rPr>
          <w:rFonts w:eastAsia="Calibri"/>
          <w:color w:val="auto"/>
        </w:rPr>
        <w:t xml:space="preserve"> delivered as planned</w:t>
      </w:r>
      <w:r w:rsidR="00CC118B" w:rsidRPr="00B27F59">
        <w:rPr>
          <w:rFonts w:eastAsia="Calibri"/>
          <w:color w:val="auto"/>
        </w:rPr>
        <w:t xml:space="preserve"> </w:t>
      </w:r>
      <w:r w:rsidR="003A35E7" w:rsidRPr="00B27F59">
        <w:rPr>
          <w:rFonts w:eastAsia="Calibri"/>
          <w:color w:val="auto"/>
        </w:rPr>
        <w:t xml:space="preserve">(Green) </w:t>
      </w:r>
      <w:r w:rsidR="00CC118B" w:rsidRPr="00B27F59">
        <w:rPr>
          <w:rFonts w:eastAsia="Calibri"/>
          <w:color w:val="auto"/>
        </w:rPr>
        <w:t>and</w:t>
      </w:r>
      <w:r w:rsidR="00A86331" w:rsidRPr="00B27F59">
        <w:rPr>
          <w:rFonts w:eastAsia="Calibri"/>
          <w:color w:val="auto"/>
        </w:rPr>
        <w:t xml:space="preserve"> </w:t>
      </w:r>
      <w:r w:rsidR="00B27F59" w:rsidRPr="00B27F59">
        <w:rPr>
          <w:rFonts w:eastAsia="Calibri"/>
          <w:color w:val="auto"/>
        </w:rPr>
        <w:t>three</w:t>
      </w:r>
      <w:r w:rsidR="008161BB" w:rsidRPr="00B27F59">
        <w:rPr>
          <w:rFonts w:eastAsia="Calibri"/>
          <w:color w:val="auto"/>
        </w:rPr>
        <w:t xml:space="preserve"> </w:t>
      </w:r>
      <w:r w:rsidR="00287FB6" w:rsidRPr="00B27F59">
        <w:rPr>
          <w:rFonts w:eastAsia="Calibri"/>
          <w:color w:val="auto"/>
        </w:rPr>
        <w:t>(</w:t>
      </w:r>
      <w:r w:rsidR="000D16EF" w:rsidRPr="00B27F59">
        <w:rPr>
          <w:rFonts w:eastAsia="Calibri"/>
          <w:color w:val="auto"/>
        </w:rPr>
        <w:t>2</w:t>
      </w:r>
      <w:r w:rsidR="00B27F59" w:rsidRPr="00B27F59">
        <w:rPr>
          <w:rFonts w:eastAsia="Calibri"/>
          <w:color w:val="auto"/>
        </w:rPr>
        <w:t>3</w:t>
      </w:r>
      <w:r w:rsidR="00287FB6" w:rsidRPr="00B27F59">
        <w:rPr>
          <w:rFonts w:eastAsia="Calibri"/>
          <w:color w:val="auto"/>
        </w:rPr>
        <w:t xml:space="preserve">%) </w:t>
      </w:r>
      <w:r w:rsidR="00B73D1D" w:rsidRPr="00B27F59">
        <w:rPr>
          <w:rFonts w:eastAsia="Calibri"/>
          <w:color w:val="auto"/>
        </w:rPr>
        <w:t>fell short of their target</w:t>
      </w:r>
      <w:r w:rsidR="00CC118B" w:rsidRPr="00B27F59">
        <w:rPr>
          <w:rFonts w:eastAsia="Calibri"/>
          <w:color w:val="auto"/>
        </w:rPr>
        <w:t>.</w:t>
      </w:r>
      <w:r w:rsidR="000D16EF" w:rsidRPr="00B27F59">
        <w:rPr>
          <w:rFonts w:eastAsia="Calibri"/>
          <w:color w:val="auto"/>
        </w:rPr>
        <w:t xml:space="preserve"> </w:t>
      </w:r>
    </w:p>
    <w:p w:rsidR="000202F2" w:rsidRPr="00B27F59" w:rsidRDefault="000202F2" w:rsidP="00E835AB">
      <w:pPr>
        <w:pStyle w:val="ListParagraph"/>
        <w:rPr>
          <w:color w:val="auto"/>
        </w:rPr>
      </w:pPr>
      <w:r w:rsidRPr="00B27F59">
        <w:rPr>
          <w:rFonts w:eastAsia="Calibri" w:cs="Arial"/>
          <w:color w:val="auto"/>
        </w:rPr>
        <w:t xml:space="preserve">The </w:t>
      </w:r>
      <w:r w:rsidR="00B27F59" w:rsidRPr="00B27F59">
        <w:rPr>
          <w:rFonts w:eastAsia="Calibri" w:cs="Arial"/>
          <w:color w:val="auto"/>
        </w:rPr>
        <w:t>three</w:t>
      </w:r>
      <w:r w:rsidR="008161BB" w:rsidRPr="00B27F59">
        <w:rPr>
          <w:rFonts w:eastAsia="Calibri" w:cs="Arial"/>
          <w:color w:val="auto"/>
        </w:rPr>
        <w:t xml:space="preserve"> </w:t>
      </w:r>
      <w:r w:rsidR="003936BA" w:rsidRPr="00B27F59">
        <w:rPr>
          <w:rFonts w:eastAsia="Calibri" w:cs="Arial"/>
          <w:color w:val="auto"/>
        </w:rPr>
        <w:t>indicators are detailed below:</w:t>
      </w:r>
    </w:p>
    <w:p w:rsidR="003936BA" w:rsidRPr="00B27F59" w:rsidRDefault="00875823" w:rsidP="00E835AB">
      <w:pPr>
        <w:pStyle w:val="ListParagraph"/>
        <w:numPr>
          <w:ilvl w:val="1"/>
          <w:numId w:val="2"/>
        </w:numPr>
        <w:rPr>
          <w:color w:val="auto"/>
        </w:rPr>
      </w:pPr>
      <w:r w:rsidRPr="00B27F59">
        <w:rPr>
          <w:rFonts w:eastAsia="Calibri" w:cs="Arial"/>
          <w:color w:val="auto"/>
        </w:rPr>
        <w:t>Amount of employment</w:t>
      </w:r>
      <w:r w:rsidR="00333AD9" w:rsidRPr="00B27F59">
        <w:rPr>
          <w:rFonts w:eastAsia="Calibri" w:cs="Arial"/>
          <w:color w:val="auto"/>
        </w:rPr>
        <w:t xml:space="preserve"> floor space permitted for development</w:t>
      </w:r>
      <w:r w:rsidR="003936BA" w:rsidRPr="00B27F59">
        <w:rPr>
          <w:rFonts w:eastAsia="Calibri" w:cs="Arial"/>
          <w:color w:val="auto"/>
        </w:rPr>
        <w:t xml:space="preserve"> –</w:t>
      </w:r>
      <w:r w:rsidR="00333AD9" w:rsidRPr="00B27F59">
        <w:rPr>
          <w:rFonts w:eastAsia="Calibri" w:cs="Arial"/>
          <w:color w:val="auto"/>
        </w:rPr>
        <w:t>target of 1</w:t>
      </w:r>
      <w:r w:rsidR="00C02347" w:rsidRPr="00B27F59">
        <w:rPr>
          <w:rFonts w:eastAsia="Calibri" w:cs="Arial"/>
          <w:color w:val="auto"/>
        </w:rPr>
        <w:t xml:space="preserve">5,000 and a year end result of </w:t>
      </w:r>
      <w:r w:rsidR="004B2089">
        <w:rPr>
          <w:rFonts w:eastAsia="Calibri" w:cs="Arial"/>
          <w:color w:val="auto"/>
        </w:rPr>
        <w:t>12,74</w:t>
      </w:r>
      <w:r w:rsidR="0042669C">
        <w:rPr>
          <w:rFonts w:eastAsia="Calibri" w:cs="Arial"/>
          <w:color w:val="auto"/>
        </w:rPr>
        <w:t>7</w:t>
      </w:r>
      <w:r w:rsidR="004B2089">
        <w:rPr>
          <w:rFonts w:eastAsia="Calibri" w:cs="Arial"/>
          <w:color w:val="auto"/>
        </w:rPr>
        <w:t>.  A target of 90,000 was set over the four year period and we may see elements come forward in the final year and we will continue to work with the major development promoters to bring these forward in a way that delivers for the local community and economy.</w:t>
      </w:r>
    </w:p>
    <w:p w:rsidR="00C02347" w:rsidRPr="00B27F59" w:rsidRDefault="00C02347" w:rsidP="00E835AB">
      <w:pPr>
        <w:pStyle w:val="ListParagraph"/>
        <w:numPr>
          <w:ilvl w:val="1"/>
          <w:numId w:val="2"/>
        </w:numPr>
        <w:rPr>
          <w:color w:val="auto"/>
        </w:rPr>
      </w:pPr>
      <w:r w:rsidRPr="00B27F59">
        <w:rPr>
          <w:color w:val="auto"/>
        </w:rPr>
        <w:t xml:space="preserve">Net increase in number of businesses operating in the city – target of 200 and a year end result of </w:t>
      </w:r>
      <w:r w:rsidR="00F50468" w:rsidRPr="00B27F59">
        <w:rPr>
          <w:color w:val="auto"/>
        </w:rPr>
        <w:t>40</w:t>
      </w:r>
      <w:r w:rsidR="002778C0">
        <w:rPr>
          <w:color w:val="auto"/>
        </w:rPr>
        <w:t xml:space="preserve">.  This indicator is not within the control of the </w:t>
      </w:r>
      <w:r w:rsidR="005E7F4B">
        <w:rPr>
          <w:color w:val="auto"/>
        </w:rPr>
        <w:t xml:space="preserve">City Council </w:t>
      </w:r>
      <w:r w:rsidR="002778C0">
        <w:rPr>
          <w:color w:val="auto"/>
        </w:rPr>
        <w:t>and will be replaced in the next iteration of service plans with a measure that records the level of engagement with and support provided to local businesses;</w:t>
      </w:r>
    </w:p>
    <w:p w:rsidR="003936BA" w:rsidRPr="00B27F59" w:rsidRDefault="00B27F59" w:rsidP="00E835AB">
      <w:pPr>
        <w:pStyle w:val="ListParagraph"/>
        <w:numPr>
          <w:ilvl w:val="1"/>
          <w:numId w:val="2"/>
        </w:numPr>
        <w:rPr>
          <w:color w:val="auto"/>
        </w:rPr>
      </w:pPr>
      <w:r w:rsidRPr="00B27F59">
        <w:rPr>
          <w:color w:val="auto"/>
        </w:rPr>
        <w:t>The level of self-service transactions as a percentage of total contact with the council – target of 40% and a year end result of 37%</w:t>
      </w:r>
      <w:proofErr w:type="gramStart"/>
      <w:r w:rsidR="00C02347" w:rsidRPr="00B27F59">
        <w:rPr>
          <w:color w:val="auto"/>
        </w:rPr>
        <w:t>;</w:t>
      </w:r>
      <w:r w:rsidRPr="00B27F59">
        <w:rPr>
          <w:color w:val="auto"/>
        </w:rPr>
        <w:t xml:space="preserve">  overall</w:t>
      </w:r>
      <w:proofErr w:type="gramEnd"/>
      <w:r w:rsidRPr="00B27F59">
        <w:rPr>
          <w:color w:val="auto"/>
        </w:rPr>
        <w:t xml:space="preserve"> online transactions were down 3% on 17/18 and calls up </w:t>
      </w:r>
      <w:r w:rsidR="002778C0">
        <w:rPr>
          <w:color w:val="auto"/>
        </w:rPr>
        <w:t xml:space="preserve">by 2.46% and visits up by 7.36%.  </w:t>
      </w:r>
      <w:proofErr w:type="gramStart"/>
      <w:r w:rsidR="002778C0">
        <w:rPr>
          <w:color w:val="auto"/>
        </w:rPr>
        <w:t>a</w:t>
      </w:r>
      <w:proofErr w:type="gramEnd"/>
      <w:r w:rsidR="002778C0">
        <w:rPr>
          <w:color w:val="auto"/>
        </w:rPr>
        <w:t xml:space="preserve"> full assessment of potential areas for new online services has been made with a prioritised plan for action over the next three years.  In addition, the Council is considering the implementation of GovDelivery, an email promotion service with a good track record in other councils, to improve the marketing of online services.</w:t>
      </w:r>
    </w:p>
    <w:p w:rsidR="008D3FE6" w:rsidRPr="00964010" w:rsidRDefault="00292C57" w:rsidP="002E1770">
      <w:pPr>
        <w:rPr>
          <w:b/>
          <w:color w:val="auto"/>
        </w:rPr>
      </w:pPr>
      <w:r w:rsidRPr="00964010">
        <w:rPr>
          <w:b/>
          <w:color w:val="auto"/>
        </w:rPr>
        <w:t xml:space="preserve">Corporate </w:t>
      </w:r>
      <w:r w:rsidR="008D3FE6" w:rsidRPr="00964010">
        <w:rPr>
          <w:b/>
          <w:color w:val="auto"/>
        </w:rPr>
        <w:t>Risk</w:t>
      </w:r>
    </w:p>
    <w:p w:rsidR="008D3FE6" w:rsidRPr="00964010" w:rsidRDefault="00502033" w:rsidP="00E835AB">
      <w:pPr>
        <w:pStyle w:val="ListParagraph"/>
        <w:rPr>
          <w:color w:val="auto"/>
        </w:rPr>
      </w:pPr>
      <w:r w:rsidRPr="00964010">
        <w:rPr>
          <w:color w:val="auto"/>
        </w:rPr>
        <w:t xml:space="preserve">Corporate </w:t>
      </w:r>
      <w:r w:rsidR="00C02347" w:rsidRPr="00964010">
        <w:rPr>
          <w:color w:val="auto"/>
        </w:rPr>
        <w:t xml:space="preserve">risks are reported </w:t>
      </w:r>
      <w:r w:rsidR="00C02347" w:rsidRPr="007B2188">
        <w:rPr>
          <w:color w:val="auto"/>
        </w:rPr>
        <w:t>in Appendix E</w:t>
      </w:r>
      <w:r w:rsidR="00964010" w:rsidRPr="007B2188">
        <w:rPr>
          <w:color w:val="auto"/>
        </w:rPr>
        <w:t>.</w:t>
      </w:r>
    </w:p>
    <w:p w:rsidR="00502033" w:rsidRPr="00964010" w:rsidRDefault="00502033" w:rsidP="00E835AB">
      <w:pPr>
        <w:pStyle w:val="ListParagraph"/>
        <w:rPr>
          <w:color w:val="auto"/>
        </w:rPr>
      </w:pPr>
      <w:r w:rsidRPr="00964010">
        <w:rPr>
          <w:color w:val="auto"/>
        </w:rPr>
        <w:t xml:space="preserve">There are </w:t>
      </w:r>
      <w:r w:rsidR="00964010" w:rsidRPr="00964010">
        <w:rPr>
          <w:color w:val="auto"/>
        </w:rPr>
        <w:t xml:space="preserve">two Green, </w:t>
      </w:r>
      <w:r w:rsidR="00C02347" w:rsidRPr="00964010">
        <w:rPr>
          <w:color w:val="auto"/>
        </w:rPr>
        <w:t>nine Amber risks and one Red risk, t</w:t>
      </w:r>
      <w:r w:rsidRPr="00964010">
        <w:rPr>
          <w:color w:val="auto"/>
        </w:rPr>
        <w:t>he red risk is detailed further below:</w:t>
      </w:r>
    </w:p>
    <w:p w:rsidR="00431551" w:rsidRPr="00964010" w:rsidRDefault="00964010" w:rsidP="00E835AB">
      <w:pPr>
        <w:pStyle w:val="ListParagraph"/>
        <w:numPr>
          <w:ilvl w:val="1"/>
          <w:numId w:val="2"/>
        </w:numPr>
        <w:rPr>
          <w:color w:val="auto"/>
        </w:rPr>
      </w:pPr>
      <w:r w:rsidRPr="0042669C">
        <w:rPr>
          <w:b/>
          <w:color w:val="auto"/>
        </w:rPr>
        <w:t>Housing</w:t>
      </w:r>
      <w:r w:rsidR="00A86331" w:rsidRPr="0042669C">
        <w:rPr>
          <w:b/>
          <w:color w:val="auto"/>
        </w:rPr>
        <w:t xml:space="preserve"> </w:t>
      </w:r>
      <w:r w:rsidR="00502033" w:rsidRPr="00964010">
        <w:rPr>
          <w:color w:val="auto"/>
        </w:rPr>
        <w:t>–</w:t>
      </w:r>
      <w:r w:rsidR="00A86331" w:rsidRPr="00964010">
        <w:rPr>
          <w:color w:val="auto"/>
        </w:rPr>
        <w:t xml:space="preserve"> </w:t>
      </w:r>
      <w:r w:rsidR="00966F41" w:rsidRPr="007C04F9">
        <w:rPr>
          <w:rFonts w:cs="Arial"/>
        </w:rPr>
        <w:t>the Council has key priorities around housing which include ensuring housing delivery and supply for the City and</w:t>
      </w:r>
      <w:r w:rsidR="00966F41">
        <w:rPr>
          <w:rFonts w:cs="Arial"/>
        </w:rPr>
        <w:t xml:space="preserve"> enabling sufficient house building and investment. Insufficient housing in the City leads to an increase in homelessness which has an impact on residents. There are also </w:t>
      </w:r>
      <w:r w:rsidR="00966F41">
        <w:rPr>
          <w:rFonts w:cs="Arial"/>
        </w:rPr>
        <w:lastRenderedPageBreak/>
        <w:t>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966F41" w:rsidRPr="002E495F" w:rsidDel="0081475D">
        <w:rPr>
          <w:rFonts w:cs="Arial"/>
        </w:rPr>
        <w:t xml:space="preserve"> </w:t>
      </w:r>
      <w:r w:rsidR="00966F41">
        <w:rPr>
          <w:rFonts w:cs="Arial"/>
        </w:rPr>
        <w:t xml:space="preserve">lettings. In addition following the removal of the HRA borrowing cap by the Government the Council </w:t>
      </w:r>
      <w:r w:rsidR="00441210">
        <w:rPr>
          <w:rFonts w:cs="Arial"/>
        </w:rPr>
        <w:t>has recently agreed proposals to fund the purchase of new build affordable housing from by its HRA from developments within it</w:t>
      </w:r>
      <w:r w:rsidR="00BD3B8E">
        <w:rPr>
          <w:rFonts w:cs="Arial"/>
        </w:rPr>
        <w:t>s</w:t>
      </w:r>
      <w:r w:rsidR="00441210">
        <w:rPr>
          <w:rFonts w:cs="Arial"/>
        </w:rPr>
        <w:t xml:space="preserve"> wholly owned Housing Company OCHL</w:t>
      </w:r>
      <w:r w:rsidR="00966F41">
        <w:rPr>
          <w:rFonts w:cs="Arial"/>
        </w:rPr>
        <w:t xml:space="preserve"> </w:t>
      </w:r>
      <w:r w:rsidR="000E0560" w:rsidRPr="00964010">
        <w:rPr>
          <w:color w:val="auto"/>
        </w:rPr>
        <w:t xml:space="preserve"> </w:t>
      </w:r>
    </w:p>
    <w:p w:rsidR="009559D8" w:rsidRPr="00087FA8" w:rsidRDefault="009559D8" w:rsidP="00431551">
      <w:pPr>
        <w:pStyle w:val="ListParagraph"/>
        <w:numPr>
          <w:ilvl w:val="0"/>
          <w:numId w:val="0"/>
        </w:numPr>
        <w:rPr>
          <w:b/>
          <w:color w:val="auto"/>
        </w:rPr>
      </w:pPr>
      <w:r w:rsidRPr="00087FA8">
        <w:rPr>
          <w:b/>
          <w:color w:val="auto"/>
        </w:rPr>
        <w:t>Financial implications</w:t>
      </w:r>
    </w:p>
    <w:p w:rsidR="004F260A" w:rsidRPr="00087FA8" w:rsidRDefault="004F260A" w:rsidP="00E835AB">
      <w:pPr>
        <w:pStyle w:val="ListParagraph"/>
        <w:ind w:left="644" w:hanging="720"/>
        <w:rPr>
          <w:color w:val="auto"/>
        </w:rPr>
      </w:pPr>
      <w:r w:rsidRPr="00087FA8">
        <w:rPr>
          <w:color w:val="auto"/>
        </w:rPr>
        <w:t>All financial implications are covered in the body of this report and the Appendices.</w:t>
      </w:r>
    </w:p>
    <w:p w:rsidR="0040736F" w:rsidRPr="00087FA8" w:rsidRDefault="00DA614B" w:rsidP="004A6D2F">
      <w:pPr>
        <w:pStyle w:val="Heading1"/>
        <w:rPr>
          <w:color w:val="auto"/>
        </w:rPr>
      </w:pPr>
      <w:r w:rsidRPr="00087FA8">
        <w:rPr>
          <w:color w:val="auto"/>
        </w:rPr>
        <w:t>Legal issues</w:t>
      </w:r>
    </w:p>
    <w:p w:rsidR="00E87F7A" w:rsidRPr="00087FA8" w:rsidRDefault="00256350" w:rsidP="00E835AB">
      <w:pPr>
        <w:pStyle w:val="ListParagraph"/>
        <w:rPr>
          <w:color w:val="auto"/>
        </w:rPr>
      </w:pPr>
      <w:r w:rsidRPr="00087FA8">
        <w:rPr>
          <w:color w:val="auto"/>
        </w:rPr>
        <w:t>There are no legal implications directly relevant to this report</w:t>
      </w:r>
      <w:r w:rsidR="00E87F7A" w:rsidRPr="00087FA8">
        <w:rPr>
          <w:color w:val="auto"/>
        </w:rPr>
        <w:t>.</w:t>
      </w:r>
    </w:p>
    <w:p w:rsidR="002329CF" w:rsidRPr="00087FA8" w:rsidRDefault="002329CF" w:rsidP="004A6D2F">
      <w:pPr>
        <w:pStyle w:val="Heading1"/>
        <w:rPr>
          <w:color w:val="auto"/>
        </w:rPr>
      </w:pPr>
      <w:r w:rsidRPr="00087FA8">
        <w:rPr>
          <w:color w:val="auto"/>
        </w:rPr>
        <w:t>Level of risk</w:t>
      </w:r>
    </w:p>
    <w:p w:rsidR="00BC69A4" w:rsidRPr="00087FA8" w:rsidRDefault="00256350" w:rsidP="00E835AB">
      <w:pPr>
        <w:pStyle w:val="ListParagraph"/>
        <w:rPr>
          <w:color w:val="auto"/>
        </w:rPr>
      </w:pPr>
      <w:r w:rsidRPr="00087FA8">
        <w:rPr>
          <w:color w:val="auto"/>
        </w:rPr>
        <w:t>All risk implications are covered in the body of this report and the Appendices.</w:t>
      </w:r>
    </w:p>
    <w:p w:rsidR="002329CF" w:rsidRPr="00087FA8" w:rsidRDefault="002329CF" w:rsidP="0050321C">
      <w:pPr>
        <w:pStyle w:val="Heading1"/>
        <w:rPr>
          <w:color w:val="auto"/>
        </w:rPr>
      </w:pPr>
      <w:r w:rsidRPr="00087FA8">
        <w:rPr>
          <w:color w:val="auto"/>
        </w:rPr>
        <w:t xml:space="preserve">Equalities impact </w:t>
      </w:r>
    </w:p>
    <w:p w:rsidR="00E206D6" w:rsidRPr="00087FA8" w:rsidRDefault="00256350" w:rsidP="00E835AB">
      <w:pPr>
        <w:pStyle w:val="ListParagraph"/>
        <w:rPr>
          <w:color w:val="auto"/>
        </w:rPr>
      </w:pPr>
      <w:r w:rsidRPr="00087FA8">
        <w:rPr>
          <w:color w:val="auto"/>
        </w:rPr>
        <w:t>There are no equalities impacts arising directly from this report.</w:t>
      </w:r>
    </w:p>
    <w:p w:rsidR="002329CF" w:rsidRPr="00087FA8"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087FA8" w:rsidRPr="00087FA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087FA8" w:rsidRDefault="00E87F7A" w:rsidP="00A46E98">
            <w:pPr>
              <w:rPr>
                <w:b/>
                <w:color w:val="auto"/>
              </w:rPr>
            </w:pPr>
            <w:r w:rsidRPr="00087FA8">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087FA8" w:rsidRDefault="00256350" w:rsidP="00A46E98">
            <w:pPr>
              <w:rPr>
                <w:color w:val="auto"/>
              </w:rPr>
            </w:pPr>
            <w:r w:rsidRPr="00087FA8">
              <w:rPr>
                <w:color w:val="auto"/>
              </w:rPr>
              <w:t xml:space="preserve">Nigel Kennedy </w:t>
            </w:r>
          </w:p>
          <w:p w:rsidR="00256350" w:rsidRPr="00087FA8" w:rsidRDefault="00256350" w:rsidP="00256350">
            <w:pPr>
              <w:rPr>
                <w:color w:val="auto"/>
              </w:rPr>
            </w:pPr>
            <w:r w:rsidRPr="00087FA8">
              <w:rPr>
                <w:color w:val="auto"/>
              </w:rPr>
              <w:t>Helen Bishop</w:t>
            </w:r>
          </w:p>
        </w:tc>
      </w:tr>
      <w:tr w:rsidR="00087FA8" w:rsidRPr="00087FA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087FA8" w:rsidRDefault="00256350" w:rsidP="00A46E98">
            <w:pPr>
              <w:rPr>
                <w:color w:val="auto"/>
              </w:rPr>
            </w:pPr>
            <w:r w:rsidRPr="00087FA8">
              <w:rPr>
                <w:color w:val="auto"/>
              </w:rPr>
              <w:t>Head of Financial Services</w:t>
            </w:r>
          </w:p>
          <w:p w:rsidR="00256350" w:rsidRPr="00087FA8" w:rsidRDefault="00256350" w:rsidP="00A46E98">
            <w:pPr>
              <w:rPr>
                <w:color w:val="auto"/>
              </w:rPr>
            </w:pPr>
            <w:r w:rsidRPr="00087FA8">
              <w:rPr>
                <w:color w:val="auto"/>
              </w:rPr>
              <w:t>Head of Business Improvement</w:t>
            </w:r>
          </w:p>
        </w:tc>
      </w:tr>
      <w:tr w:rsidR="00087FA8" w:rsidRPr="00087FA8" w:rsidTr="00A46E98">
        <w:trPr>
          <w:cantSplit/>
          <w:trHeight w:val="396"/>
        </w:trPr>
        <w:tc>
          <w:tcPr>
            <w:tcW w:w="3969" w:type="dxa"/>
            <w:tcBorders>
              <w:top w:val="nil"/>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Service area or department</w:t>
            </w:r>
          </w:p>
        </w:tc>
        <w:tc>
          <w:tcPr>
            <w:tcW w:w="4962" w:type="dxa"/>
            <w:tcBorders>
              <w:top w:val="nil"/>
              <w:left w:val="nil"/>
              <w:bottom w:val="nil"/>
              <w:right w:val="single" w:sz="8" w:space="0" w:color="000000"/>
            </w:tcBorders>
            <w:shd w:val="clear" w:color="auto" w:fill="auto"/>
          </w:tcPr>
          <w:p w:rsidR="00E87F7A" w:rsidRPr="00087FA8" w:rsidRDefault="00256350" w:rsidP="00A46E98">
            <w:pPr>
              <w:rPr>
                <w:color w:val="auto"/>
              </w:rPr>
            </w:pPr>
            <w:r w:rsidRPr="00087FA8">
              <w:rPr>
                <w:color w:val="auto"/>
              </w:rPr>
              <w:t>Financial Services/Business Improvement</w:t>
            </w:r>
          </w:p>
        </w:tc>
      </w:tr>
      <w:tr w:rsidR="00087FA8" w:rsidRPr="00087FA8" w:rsidTr="00A46E98">
        <w:trPr>
          <w:cantSplit/>
          <w:trHeight w:val="396"/>
        </w:trPr>
        <w:tc>
          <w:tcPr>
            <w:tcW w:w="3969" w:type="dxa"/>
            <w:tcBorders>
              <w:top w:val="nil"/>
              <w:left w:val="single" w:sz="8" w:space="0" w:color="000000"/>
              <w:bottom w:val="nil"/>
              <w:right w:val="nil"/>
            </w:tcBorders>
            <w:shd w:val="clear" w:color="auto" w:fill="auto"/>
          </w:tcPr>
          <w:p w:rsidR="00E87F7A" w:rsidRPr="00087FA8" w:rsidRDefault="00E87F7A" w:rsidP="00A46E98">
            <w:pPr>
              <w:rPr>
                <w:color w:val="auto"/>
              </w:rPr>
            </w:pPr>
            <w:r w:rsidRPr="00087FA8">
              <w:rPr>
                <w:color w:val="auto"/>
              </w:rPr>
              <w:t xml:space="preserve">Telephone </w:t>
            </w:r>
          </w:p>
        </w:tc>
        <w:tc>
          <w:tcPr>
            <w:tcW w:w="4962" w:type="dxa"/>
            <w:tcBorders>
              <w:top w:val="nil"/>
              <w:left w:val="nil"/>
              <w:bottom w:val="nil"/>
              <w:right w:val="single" w:sz="8" w:space="0" w:color="000000"/>
            </w:tcBorders>
            <w:shd w:val="clear" w:color="auto" w:fill="auto"/>
          </w:tcPr>
          <w:p w:rsidR="00E87F7A" w:rsidRPr="00087FA8" w:rsidRDefault="00256350" w:rsidP="00256350">
            <w:pPr>
              <w:rPr>
                <w:color w:val="auto"/>
              </w:rPr>
            </w:pPr>
            <w:r w:rsidRPr="00087FA8">
              <w:rPr>
                <w:color w:val="auto"/>
              </w:rPr>
              <w:t>01865 252708</w:t>
            </w:r>
            <w:r w:rsidR="00E87F7A" w:rsidRPr="00087FA8">
              <w:rPr>
                <w:color w:val="auto"/>
              </w:rPr>
              <w:t xml:space="preserve">  </w:t>
            </w:r>
          </w:p>
        </w:tc>
      </w:tr>
      <w:tr w:rsidR="005570B5" w:rsidRPr="00087FA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087FA8" w:rsidRDefault="00E87F7A" w:rsidP="00A46E98">
            <w:pPr>
              <w:rPr>
                <w:color w:val="auto"/>
              </w:rPr>
            </w:pPr>
            <w:r w:rsidRPr="00087FA8">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087FA8" w:rsidRDefault="00256350" w:rsidP="00A46E98">
            <w:pPr>
              <w:rPr>
                <w:rStyle w:val="Hyperlink"/>
                <w:color w:val="auto"/>
              </w:rPr>
            </w:pPr>
            <w:r w:rsidRPr="00087FA8">
              <w:rPr>
                <w:rStyle w:val="Hyperlink"/>
                <w:color w:val="auto"/>
              </w:rPr>
              <w:t>nkennedy@oxford.gov.uk/hbishop@oxford.gov.uk</w:t>
            </w:r>
          </w:p>
        </w:tc>
      </w:tr>
    </w:tbl>
    <w:p w:rsidR="00433B96" w:rsidRPr="00087FA8"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087FA8" w:rsidRPr="00087FA8"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087FA8" w:rsidRDefault="00182B81" w:rsidP="00F41AC1">
            <w:pPr>
              <w:rPr>
                <w:color w:val="auto"/>
              </w:rPr>
            </w:pPr>
            <w:r w:rsidRPr="00087FA8">
              <w:rPr>
                <w:rStyle w:val="Firstpagetablebold"/>
                <w:color w:val="auto"/>
              </w:rPr>
              <w:t xml:space="preserve">Background Papers: </w:t>
            </w:r>
            <w:r w:rsidRPr="00087FA8">
              <w:rPr>
                <w:rStyle w:val="Firstpagetablebold"/>
                <w:b w:val="0"/>
                <w:color w:val="auto"/>
              </w:rPr>
              <w:t>None</w:t>
            </w:r>
          </w:p>
        </w:tc>
      </w:tr>
      <w:tr w:rsidR="005570B5" w:rsidRPr="00087FA8" w:rsidTr="00A46E98">
        <w:tc>
          <w:tcPr>
            <w:tcW w:w="567" w:type="dxa"/>
            <w:tcBorders>
              <w:top w:val="nil"/>
              <w:left w:val="single" w:sz="8" w:space="0" w:color="000000"/>
              <w:bottom w:val="single" w:sz="8" w:space="0" w:color="000000"/>
              <w:right w:val="nil"/>
            </w:tcBorders>
            <w:shd w:val="clear" w:color="auto" w:fill="auto"/>
          </w:tcPr>
          <w:p w:rsidR="0093067A" w:rsidRPr="00087FA8"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087FA8" w:rsidRDefault="0093067A" w:rsidP="00F41AC1">
            <w:pPr>
              <w:rPr>
                <w:color w:val="auto"/>
              </w:rPr>
            </w:pPr>
          </w:p>
        </w:tc>
      </w:tr>
    </w:tbl>
    <w:p w:rsidR="00087FA8" w:rsidRPr="00087FA8" w:rsidRDefault="00087FA8" w:rsidP="000C04A5">
      <w:pPr>
        <w:rPr>
          <w:color w:val="auto"/>
        </w:rPr>
      </w:pPr>
    </w:p>
    <w:sectPr w:rsidR="00087FA8" w:rsidRPr="00087FA8"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D8895" w15:done="0"/>
  <w15:commentEx w15:paraId="5D2D6B2F" w15:done="0"/>
  <w15:commentEx w15:paraId="3275C6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A4" w:rsidRDefault="00777EA4" w:rsidP="004A6D2F">
      <w:r>
        <w:separator/>
      </w:r>
    </w:p>
  </w:endnote>
  <w:endnote w:type="continuationSeparator" w:id="0">
    <w:p w:rsidR="00777EA4" w:rsidRDefault="00777EA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A4" w:rsidRDefault="00777EA4" w:rsidP="004A6D2F">
      <w:r>
        <w:separator/>
      </w:r>
    </w:p>
  </w:footnote>
  <w:footnote w:type="continuationSeparator" w:id="0">
    <w:p w:rsidR="00777EA4" w:rsidRDefault="00777EA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34D16" w:rsidP="00D5547E">
    <w:pPr>
      <w:pStyle w:val="Header"/>
      <w:jc w:val="right"/>
    </w:pPr>
    <w:r>
      <w:rPr>
        <w:noProof/>
      </w:rPr>
      <w:drawing>
        <wp:inline distT="0" distB="0" distL="0" distR="0" wp14:anchorId="64A21598" wp14:editId="392361AE">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A842898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854A4C"/>
    <w:multiLevelType w:val="hybridMultilevel"/>
    <w:tmpl w:val="0E784D98"/>
    <w:lvl w:ilvl="0" w:tplc="08090001">
      <w:start w:val="1"/>
      <w:numFmt w:val="bullet"/>
      <w:lvlText w:val=""/>
      <w:lvlJc w:val="left"/>
      <w:pPr>
        <w:ind w:left="1440" w:hanging="360"/>
      </w:pPr>
      <w:rPr>
        <w:rFonts w:ascii="Symbol" w:hAnsi="Symbol" w:hint="default"/>
      </w:rPr>
    </w:lvl>
    <w:lvl w:ilvl="1" w:tplc="496C3AE0">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21E98"/>
    <w:multiLevelType w:val="hybridMultilevel"/>
    <w:tmpl w:val="D65E774E"/>
    <w:lvl w:ilvl="0" w:tplc="08090001">
      <w:start w:val="1"/>
      <w:numFmt w:val="bullet"/>
      <w:lvlText w:val=""/>
      <w:lvlJc w:val="left"/>
      <w:pPr>
        <w:ind w:left="720" w:hanging="360"/>
      </w:pPr>
      <w:rPr>
        <w:rFonts w:ascii="Symbol" w:hAnsi="Symbol" w:hint="default"/>
      </w:rPr>
    </w:lvl>
    <w:lvl w:ilvl="1" w:tplc="7C1473A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D845A1"/>
    <w:multiLevelType w:val="hybridMultilevel"/>
    <w:tmpl w:val="06DC8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992AA6"/>
    <w:multiLevelType w:val="hybridMultilevel"/>
    <w:tmpl w:val="750E190A"/>
    <w:lvl w:ilvl="0" w:tplc="1A02062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053E5E"/>
    <w:multiLevelType w:val="hybridMultilevel"/>
    <w:tmpl w:val="E74618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8">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4">
    <w:nsid w:val="798365C6"/>
    <w:multiLevelType w:val="multilevel"/>
    <w:tmpl w:val="E67CE66C"/>
    <w:numStyleLink w:val="StyleNumberedLeft0cmHanging075cm"/>
  </w:abstractNum>
  <w:num w:numId="1">
    <w:abstractNumId w:val="2"/>
  </w:num>
  <w:num w:numId="2">
    <w:abstractNumId w:val="44"/>
  </w:num>
  <w:num w:numId="3">
    <w:abstractNumId w:val="14"/>
  </w:num>
  <w:num w:numId="4">
    <w:abstractNumId w:val="3"/>
  </w:num>
  <w:num w:numId="5">
    <w:abstractNumId w:val="40"/>
  </w:num>
  <w:num w:numId="6">
    <w:abstractNumId w:val="38"/>
  </w:num>
  <w:num w:numId="7">
    <w:abstractNumId w:val="37"/>
  </w:num>
  <w:num w:numId="8">
    <w:abstractNumId w:val="15"/>
  </w:num>
  <w:num w:numId="9">
    <w:abstractNumId w:val="34"/>
  </w:num>
  <w:num w:numId="10">
    <w:abstractNumId w:val="7"/>
  </w:num>
  <w:num w:numId="11">
    <w:abstractNumId w:val="0"/>
  </w:num>
  <w:num w:numId="12">
    <w:abstractNumId w:val="8"/>
  </w:num>
  <w:num w:numId="13">
    <w:abstractNumId w:val="5"/>
  </w:num>
  <w:num w:numId="14">
    <w:abstractNumId w:val="33"/>
  </w:num>
  <w:num w:numId="15">
    <w:abstractNumId w:val="1"/>
  </w:num>
  <w:num w:numId="16">
    <w:abstractNumId w:val="42"/>
  </w:num>
  <w:num w:numId="17">
    <w:abstractNumId w:val="10"/>
  </w:num>
  <w:num w:numId="18">
    <w:abstractNumId w:val="36"/>
  </w:num>
  <w:num w:numId="19">
    <w:abstractNumId w:val="43"/>
  </w:num>
  <w:num w:numId="20">
    <w:abstractNumId w:val="27"/>
  </w:num>
  <w:num w:numId="21">
    <w:abstractNumId w:val="30"/>
  </w:num>
  <w:num w:numId="22">
    <w:abstractNumId w:val="11"/>
  </w:num>
  <w:num w:numId="23">
    <w:abstractNumId w:val="18"/>
  </w:num>
  <w:num w:numId="24">
    <w:abstractNumId w:val="39"/>
  </w:num>
  <w:num w:numId="25">
    <w:abstractNumId w:val="41"/>
  </w:num>
  <w:num w:numId="26">
    <w:abstractNumId w:val="21"/>
  </w:num>
  <w:num w:numId="27">
    <w:abstractNumId w:val="24"/>
  </w:num>
  <w:num w:numId="28">
    <w:abstractNumId w:val="13"/>
  </w:num>
  <w:num w:numId="29">
    <w:abstractNumId w:val="12"/>
  </w:num>
  <w:num w:numId="30">
    <w:abstractNumId w:val="23"/>
  </w:num>
  <w:num w:numId="31">
    <w:abstractNumId w:val="17"/>
  </w:num>
  <w:num w:numId="32">
    <w:abstractNumId w:val="20"/>
  </w:num>
  <w:num w:numId="33">
    <w:abstractNumId w:val="4"/>
  </w:num>
  <w:num w:numId="34">
    <w:abstractNumId w:val="19"/>
  </w:num>
  <w:num w:numId="35">
    <w:abstractNumId w:val="29"/>
  </w:num>
  <w:num w:numId="36">
    <w:abstractNumId w:val="9"/>
  </w:num>
  <w:num w:numId="37">
    <w:abstractNumId w:val="26"/>
  </w:num>
  <w:num w:numId="38">
    <w:abstractNumId w:val="28"/>
  </w:num>
  <w:num w:numId="39">
    <w:abstractNumId w:val="25"/>
  </w:num>
  <w:num w:numId="40">
    <w:abstractNumId w:val="35"/>
  </w:num>
  <w:num w:numId="41">
    <w:abstractNumId w:val="16"/>
  </w:num>
  <w:num w:numId="42">
    <w:abstractNumId w:val="32"/>
  </w:num>
  <w:num w:numId="43">
    <w:abstractNumId w:val="31"/>
  </w:num>
  <w:num w:numId="44">
    <w:abstractNumId w:val="22"/>
  </w:num>
  <w:num w:numId="45">
    <w:abstractNumId w:val="6"/>
  </w:num>
  <w:num w:numId="46">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F30"/>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692D"/>
    <w:rsid w:val="00077523"/>
    <w:rsid w:val="000776FF"/>
    <w:rsid w:val="000811A3"/>
    <w:rsid w:val="00081E30"/>
    <w:rsid w:val="000838DB"/>
    <w:rsid w:val="00085B72"/>
    <w:rsid w:val="00087FA8"/>
    <w:rsid w:val="0009130F"/>
    <w:rsid w:val="000917F9"/>
    <w:rsid w:val="00092163"/>
    <w:rsid w:val="00093353"/>
    <w:rsid w:val="00096070"/>
    <w:rsid w:val="000A00A3"/>
    <w:rsid w:val="000A026F"/>
    <w:rsid w:val="000B5D37"/>
    <w:rsid w:val="000B6726"/>
    <w:rsid w:val="000B6A77"/>
    <w:rsid w:val="000B6C3C"/>
    <w:rsid w:val="000C04A5"/>
    <w:rsid w:val="000C089F"/>
    <w:rsid w:val="000C1A15"/>
    <w:rsid w:val="000C35CD"/>
    <w:rsid w:val="000C3928"/>
    <w:rsid w:val="000C3FBC"/>
    <w:rsid w:val="000C4C93"/>
    <w:rsid w:val="000C5E8E"/>
    <w:rsid w:val="000C6280"/>
    <w:rsid w:val="000D16EF"/>
    <w:rsid w:val="000D5378"/>
    <w:rsid w:val="000D6E10"/>
    <w:rsid w:val="000D7112"/>
    <w:rsid w:val="000E0057"/>
    <w:rsid w:val="000E0560"/>
    <w:rsid w:val="000E0892"/>
    <w:rsid w:val="000E4222"/>
    <w:rsid w:val="000E6150"/>
    <w:rsid w:val="000E6801"/>
    <w:rsid w:val="000F2A7A"/>
    <w:rsid w:val="000F3585"/>
    <w:rsid w:val="000F44CC"/>
    <w:rsid w:val="000F4751"/>
    <w:rsid w:val="000F4EBE"/>
    <w:rsid w:val="00100B3F"/>
    <w:rsid w:val="00103EAA"/>
    <w:rsid w:val="0010524C"/>
    <w:rsid w:val="0010611D"/>
    <w:rsid w:val="00106E1A"/>
    <w:rsid w:val="00111FB1"/>
    <w:rsid w:val="001121C1"/>
    <w:rsid w:val="0011233D"/>
    <w:rsid w:val="0011263A"/>
    <w:rsid w:val="00113418"/>
    <w:rsid w:val="00117FD9"/>
    <w:rsid w:val="00120699"/>
    <w:rsid w:val="00121043"/>
    <w:rsid w:val="00124CD2"/>
    <w:rsid w:val="001318CF"/>
    <w:rsid w:val="001356F1"/>
    <w:rsid w:val="00136994"/>
    <w:rsid w:val="00136EB8"/>
    <w:rsid w:val="00136FB7"/>
    <w:rsid w:val="0014128E"/>
    <w:rsid w:val="00141634"/>
    <w:rsid w:val="00147810"/>
    <w:rsid w:val="001479C1"/>
    <w:rsid w:val="00151888"/>
    <w:rsid w:val="0015241C"/>
    <w:rsid w:val="001531B9"/>
    <w:rsid w:val="00153496"/>
    <w:rsid w:val="00153515"/>
    <w:rsid w:val="00155948"/>
    <w:rsid w:val="00156074"/>
    <w:rsid w:val="00160BAB"/>
    <w:rsid w:val="00162B63"/>
    <w:rsid w:val="00165DB6"/>
    <w:rsid w:val="001665D8"/>
    <w:rsid w:val="0017015E"/>
    <w:rsid w:val="001705FE"/>
    <w:rsid w:val="00170A2D"/>
    <w:rsid w:val="00170D87"/>
    <w:rsid w:val="00172D62"/>
    <w:rsid w:val="001757B4"/>
    <w:rsid w:val="00177372"/>
    <w:rsid w:val="001808BC"/>
    <w:rsid w:val="00182B81"/>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B0394"/>
    <w:rsid w:val="001B42C3"/>
    <w:rsid w:val="001B57C2"/>
    <w:rsid w:val="001C0E6C"/>
    <w:rsid w:val="001C1E83"/>
    <w:rsid w:val="001C5D5E"/>
    <w:rsid w:val="001D522C"/>
    <w:rsid w:val="001D678D"/>
    <w:rsid w:val="001D6B95"/>
    <w:rsid w:val="001D7960"/>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301B9"/>
    <w:rsid w:val="002329CF"/>
    <w:rsid w:val="00232F5B"/>
    <w:rsid w:val="00233A3B"/>
    <w:rsid w:val="0024230D"/>
    <w:rsid w:val="00244FEC"/>
    <w:rsid w:val="00246CCD"/>
    <w:rsid w:val="00247C29"/>
    <w:rsid w:val="00250D64"/>
    <w:rsid w:val="00251369"/>
    <w:rsid w:val="00256350"/>
    <w:rsid w:val="00260467"/>
    <w:rsid w:val="00261D35"/>
    <w:rsid w:val="00263EA3"/>
    <w:rsid w:val="00265217"/>
    <w:rsid w:val="00265BB1"/>
    <w:rsid w:val="002665C2"/>
    <w:rsid w:val="002778C0"/>
    <w:rsid w:val="0028004E"/>
    <w:rsid w:val="00284F85"/>
    <w:rsid w:val="00285D6F"/>
    <w:rsid w:val="002873F1"/>
    <w:rsid w:val="00287776"/>
    <w:rsid w:val="00287FB6"/>
    <w:rsid w:val="00290915"/>
    <w:rsid w:val="00290D91"/>
    <w:rsid w:val="00292C57"/>
    <w:rsid w:val="00293B26"/>
    <w:rsid w:val="00297FB0"/>
    <w:rsid w:val="002A15EC"/>
    <w:rsid w:val="002A22E2"/>
    <w:rsid w:val="002A5FEB"/>
    <w:rsid w:val="002A6BE1"/>
    <w:rsid w:val="002A7109"/>
    <w:rsid w:val="002B3A96"/>
    <w:rsid w:val="002C3627"/>
    <w:rsid w:val="002C45FC"/>
    <w:rsid w:val="002C556E"/>
    <w:rsid w:val="002C64F7"/>
    <w:rsid w:val="002C7D93"/>
    <w:rsid w:val="002D3DE5"/>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50F2"/>
    <w:rsid w:val="0035702E"/>
    <w:rsid w:val="00360AA3"/>
    <w:rsid w:val="00362247"/>
    <w:rsid w:val="0036290C"/>
    <w:rsid w:val="0036436B"/>
    <w:rsid w:val="00364FAD"/>
    <w:rsid w:val="0036738F"/>
    <w:rsid w:val="0036759C"/>
    <w:rsid w:val="00367AE5"/>
    <w:rsid w:val="00367D71"/>
    <w:rsid w:val="0037202D"/>
    <w:rsid w:val="003745E0"/>
    <w:rsid w:val="0038150A"/>
    <w:rsid w:val="00381DF8"/>
    <w:rsid w:val="00386CF0"/>
    <w:rsid w:val="00390138"/>
    <w:rsid w:val="0039198D"/>
    <w:rsid w:val="003936BA"/>
    <w:rsid w:val="00395F98"/>
    <w:rsid w:val="0039720B"/>
    <w:rsid w:val="003974D3"/>
    <w:rsid w:val="003A35E7"/>
    <w:rsid w:val="003A55C4"/>
    <w:rsid w:val="003A74EF"/>
    <w:rsid w:val="003B2CB3"/>
    <w:rsid w:val="003B31C6"/>
    <w:rsid w:val="003B5178"/>
    <w:rsid w:val="003B6E75"/>
    <w:rsid w:val="003B7DA1"/>
    <w:rsid w:val="003C0094"/>
    <w:rsid w:val="003C2117"/>
    <w:rsid w:val="003C2197"/>
    <w:rsid w:val="003C2354"/>
    <w:rsid w:val="003C27C4"/>
    <w:rsid w:val="003C3612"/>
    <w:rsid w:val="003C5241"/>
    <w:rsid w:val="003C619C"/>
    <w:rsid w:val="003D0379"/>
    <w:rsid w:val="003D1D47"/>
    <w:rsid w:val="003D2574"/>
    <w:rsid w:val="003D4C59"/>
    <w:rsid w:val="003D70E3"/>
    <w:rsid w:val="003E19A9"/>
    <w:rsid w:val="003E74D0"/>
    <w:rsid w:val="003E75E2"/>
    <w:rsid w:val="003F2106"/>
    <w:rsid w:val="003F333F"/>
    <w:rsid w:val="003F4136"/>
    <w:rsid w:val="003F4267"/>
    <w:rsid w:val="003F44B1"/>
    <w:rsid w:val="003F50F9"/>
    <w:rsid w:val="003F7042"/>
    <w:rsid w:val="00404032"/>
    <w:rsid w:val="0040736F"/>
    <w:rsid w:val="00407BA5"/>
    <w:rsid w:val="004101A3"/>
    <w:rsid w:val="00412C1F"/>
    <w:rsid w:val="00413512"/>
    <w:rsid w:val="004169B8"/>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40F1"/>
    <w:rsid w:val="004455BC"/>
    <w:rsid w:val="004456DD"/>
    <w:rsid w:val="00446085"/>
    <w:rsid w:val="00446CDF"/>
    <w:rsid w:val="00451FB4"/>
    <w:rsid w:val="004521B7"/>
    <w:rsid w:val="004560CC"/>
    <w:rsid w:val="0045613A"/>
    <w:rsid w:val="0045731F"/>
    <w:rsid w:val="00457CEF"/>
    <w:rsid w:val="00462AB5"/>
    <w:rsid w:val="00465EAF"/>
    <w:rsid w:val="0047351F"/>
    <w:rsid w:val="004738C5"/>
    <w:rsid w:val="004768FC"/>
    <w:rsid w:val="00477871"/>
    <w:rsid w:val="00477A97"/>
    <w:rsid w:val="00480B15"/>
    <w:rsid w:val="00484780"/>
    <w:rsid w:val="00487A8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C195A"/>
    <w:rsid w:val="004C2887"/>
    <w:rsid w:val="004C6918"/>
    <w:rsid w:val="004C69F1"/>
    <w:rsid w:val="004C6F45"/>
    <w:rsid w:val="004D0FD0"/>
    <w:rsid w:val="004D1B2B"/>
    <w:rsid w:val="004D2626"/>
    <w:rsid w:val="004D58C5"/>
    <w:rsid w:val="004D5D7A"/>
    <w:rsid w:val="004D6E26"/>
    <w:rsid w:val="004D73C5"/>
    <w:rsid w:val="004D77D3"/>
    <w:rsid w:val="004E02EA"/>
    <w:rsid w:val="004E070A"/>
    <w:rsid w:val="004E27A6"/>
    <w:rsid w:val="004E288C"/>
    <w:rsid w:val="004E2959"/>
    <w:rsid w:val="004F09E4"/>
    <w:rsid w:val="004F20EF"/>
    <w:rsid w:val="004F260A"/>
    <w:rsid w:val="004F58D3"/>
    <w:rsid w:val="004F7AF1"/>
    <w:rsid w:val="00502033"/>
    <w:rsid w:val="0050321C"/>
    <w:rsid w:val="00511D41"/>
    <w:rsid w:val="00512F4E"/>
    <w:rsid w:val="00523C1C"/>
    <w:rsid w:val="00524E1F"/>
    <w:rsid w:val="00526949"/>
    <w:rsid w:val="005300D5"/>
    <w:rsid w:val="00536537"/>
    <w:rsid w:val="005367B7"/>
    <w:rsid w:val="00536A53"/>
    <w:rsid w:val="005417BF"/>
    <w:rsid w:val="005422B3"/>
    <w:rsid w:val="0054712D"/>
    <w:rsid w:val="00547EF6"/>
    <w:rsid w:val="0055120B"/>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94AE5"/>
    <w:rsid w:val="00597100"/>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27D0F"/>
    <w:rsid w:val="0063089D"/>
    <w:rsid w:val="00630B28"/>
    <w:rsid w:val="0063229F"/>
    <w:rsid w:val="00633578"/>
    <w:rsid w:val="00633EEC"/>
    <w:rsid w:val="00633F36"/>
    <w:rsid w:val="006357FD"/>
    <w:rsid w:val="00637068"/>
    <w:rsid w:val="00640B28"/>
    <w:rsid w:val="0064625F"/>
    <w:rsid w:val="0064756A"/>
    <w:rsid w:val="00650642"/>
    <w:rsid w:val="00650811"/>
    <w:rsid w:val="00650BC9"/>
    <w:rsid w:val="00656353"/>
    <w:rsid w:val="006600DC"/>
    <w:rsid w:val="006600EF"/>
    <w:rsid w:val="00660A77"/>
    <w:rsid w:val="00660B15"/>
    <w:rsid w:val="00661D3E"/>
    <w:rsid w:val="0067298D"/>
    <w:rsid w:val="00673910"/>
    <w:rsid w:val="00675219"/>
    <w:rsid w:val="00676725"/>
    <w:rsid w:val="00690696"/>
    <w:rsid w:val="00692627"/>
    <w:rsid w:val="006927FE"/>
    <w:rsid w:val="006947AB"/>
    <w:rsid w:val="00695DEE"/>
    <w:rsid w:val="0069653D"/>
    <w:rsid w:val="006969E7"/>
    <w:rsid w:val="00697F1B"/>
    <w:rsid w:val="00697F53"/>
    <w:rsid w:val="006A03DC"/>
    <w:rsid w:val="006A3643"/>
    <w:rsid w:val="006B3EBB"/>
    <w:rsid w:val="006B6ED9"/>
    <w:rsid w:val="006B7532"/>
    <w:rsid w:val="006B79D4"/>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D93"/>
    <w:rsid w:val="006F519B"/>
    <w:rsid w:val="006F6DC5"/>
    <w:rsid w:val="006F7CC4"/>
    <w:rsid w:val="00702A18"/>
    <w:rsid w:val="00703A6A"/>
    <w:rsid w:val="00703F5D"/>
    <w:rsid w:val="007114CD"/>
    <w:rsid w:val="00713675"/>
    <w:rsid w:val="00715823"/>
    <w:rsid w:val="00717CF8"/>
    <w:rsid w:val="007201B8"/>
    <w:rsid w:val="00722C3E"/>
    <w:rsid w:val="0073065E"/>
    <w:rsid w:val="007333C3"/>
    <w:rsid w:val="00737B93"/>
    <w:rsid w:val="0074211E"/>
    <w:rsid w:val="00742F96"/>
    <w:rsid w:val="00745BF0"/>
    <w:rsid w:val="0075545F"/>
    <w:rsid w:val="00756358"/>
    <w:rsid w:val="0075664A"/>
    <w:rsid w:val="007615FE"/>
    <w:rsid w:val="00761E43"/>
    <w:rsid w:val="0076287E"/>
    <w:rsid w:val="00763052"/>
    <w:rsid w:val="00764912"/>
    <w:rsid w:val="0076655C"/>
    <w:rsid w:val="00773D35"/>
    <w:rsid w:val="00773F4F"/>
    <w:rsid w:val="007742DC"/>
    <w:rsid w:val="00775283"/>
    <w:rsid w:val="00777EA4"/>
    <w:rsid w:val="0078327B"/>
    <w:rsid w:val="007839B9"/>
    <w:rsid w:val="00784171"/>
    <w:rsid w:val="00784884"/>
    <w:rsid w:val="007907D7"/>
    <w:rsid w:val="00791437"/>
    <w:rsid w:val="0079321F"/>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829"/>
    <w:rsid w:val="007D2F26"/>
    <w:rsid w:val="007D3AC2"/>
    <w:rsid w:val="007D5AC3"/>
    <w:rsid w:val="007E0F4C"/>
    <w:rsid w:val="007E28E1"/>
    <w:rsid w:val="007E2A26"/>
    <w:rsid w:val="007E64F0"/>
    <w:rsid w:val="007E7D96"/>
    <w:rsid w:val="007E7DC2"/>
    <w:rsid w:val="007F2348"/>
    <w:rsid w:val="007F4328"/>
    <w:rsid w:val="00803F07"/>
    <w:rsid w:val="008050A5"/>
    <w:rsid w:val="0080749A"/>
    <w:rsid w:val="008074F3"/>
    <w:rsid w:val="008077DD"/>
    <w:rsid w:val="00814689"/>
    <w:rsid w:val="008159AF"/>
    <w:rsid w:val="008161BB"/>
    <w:rsid w:val="00817482"/>
    <w:rsid w:val="00821FB8"/>
    <w:rsid w:val="00822ACD"/>
    <w:rsid w:val="008336DC"/>
    <w:rsid w:val="0083382B"/>
    <w:rsid w:val="00836AE5"/>
    <w:rsid w:val="00843591"/>
    <w:rsid w:val="0084531E"/>
    <w:rsid w:val="008516F4"/>
    <w:rsid w:val="00854074"/>
    <w:rsid w:val="00855C66"/>
    <w:rsid w:val="008575E2"/>
    <w:rsid w:val="00860C96"/>
    <w:rsid w:val="00864061"/>
    <w:rsid w:val="008679B6"/>
    <w:rsid w:val="00871C32"/>
    <w:rsid w:val="00871EE4"/>
    <w:rsid w:val="00875823"/>
    <w:rsid w:val="00876831"/>
    <w:rsid w:val="00877CD1"/>
    <w:rsid w:val="00883215"/>
    <w:rsid w:val="00883BD0"/>
    <w:rsid w:val="0088458C"/>
    <w:rsid w:val="00884F2C"/>
    <w:rsid w:val="00885E16"/>
    <w:rsid w:val="00886F33"/>
    <w:rsid w:val="00891372"/>
    <w:rsid w:val="0089175C"/>
    <w:rsid w:val="0089212D"/>
    <w:rsid w:val="008A15F8"/>
    <w:rsid w:val="008A339B"/>
    <w:rsid w:val="008B1387"/>
    <w:rsid w:val="008B293F"/>
    <w:rsid w:val="008B305E"/>
    <w:rsid w:val="008B4023"/>
    <w:rsid w:val="008B6745"/>
    <w:rsid w:val="008B7371"/>
    <w:rsid w:val="008B769E"/>
    <w:rsid w:val="008C2114"/>
    <w:rsid w:val="008D0B20"/>
    <w:rsid w:val="008D1A3C"/>
    <w:rsid w:val="008D3DDB"/>
    <w:rsid w:val="008D3FE6"/>
    <w:rsid w:val="008D5B32"/>
    <w:rsid w:val="008F094F"/>
    <w:rsid w:val="008F2876"/>
    <w:rsid w:val="008F573F"/>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5091F"/>
    <w:rsid w:val="00953287"/>
    <w:rsid w:val="00953A87"/>
    <w:rsid w:val="009559D8"/>
    <w:rsid w:val="00956A10"/>
    <w:rsid w:val="00957365"/>
    <w:rsid w:val="00964010"/>
    <w:rsid w:val="00964187"/>
    <w:rsid w:val="00965E39"/>
    <w:rsid w:val="0096639D"/>
    <w:rsid w:val="00966D42"/>
    <w:rsid w:val="00966F41"/>
    <w:rsid w:val="00971689"/>
    <w:rsid w:val="00971754"/>
    <w:rsid w:val="00973E90"/>
    <w:rsid w:val="00975B07"/>
    <w:rsid w:val="00980B4A"/>
    <w:rsid w:val="00980D6B"/>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1420"/>
    <w:rsid w:val="00A021CB"/>
    <w:rsid w:val="00A02C6C"/>
    <w:rsid w:val="00A04D23"/>
    <w:rsid w:val="00A06766"/>
    <w:rsid w:val="00A13765"/>
    <w:rsid w:val="00A13B37"/>
    <w:rsid w:val="00A17BAD"/>
    <w:rsid w:val="00A21B12"/>
    <w:rsid w:val="00A23CB8"/>
    <w:rsid w:val="00A23F80"/>
    <w:rsid w:val="00A36624"/>
    <w:rsid w:val="00A40E02"/>
    <w:rsid w:val="00A40EFD"/>
    <w:rsid w:val="00A45DDB"/>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1CC3"/>
    <w:rsid w:val="00A82AF9"/>
    <w:rsid w:val="00A84593"/>
    <w:rsid w:val="00A85B0E"/>
    <w:rsid w:val="00A86331"/>
    <w:rsid w:val="00A91B9B"/>
    <w:rsid w:val="00A9244B"/>
    <w:rsid w:val="00A92D8F"/>
    <w:rsid w:val="00A92F6E"/>
    <w:rsid w:val="00A93767"/>
    <w:rsid w:val="00A94633"/>
    <w:rsid w:val="00A94C30"/>
    <w:rsid w:val="00AB1CBD"/>
    <w:rsid w:val="00AB1CFD"/>
    <w:rsid w:val="00AB2988"/>
    <w:rsid w:val="00AB41E6"/>
    <w:rsid w:val="00AB77E5"/>
    <w:rsid w:val="00AB7999"/>
    <w:rsid w:val="00AC2F1C"/>
    <w:rsid w:val="00AC4174"/>
    <w:rsid w:val="00AC453A"/>
    <w:rsid w:val="00AC5333"/>
    <w:rsid w:val="00AC650C"/>
    <w:rsid w:val="00AC659B"/>
    <w:rsid w:val="00AD204C"/>
    <w:rsid w:val="00AD3292"/>
    <w:rsid w:val="00AD4EDC"/>
    <w:rsid w:val="00AD5C28"/>
    <w:rsid w:val="00AD6658"/>
    <w:rsid w:val="00AE2EA6"/>
    <w:rsid w:val="00AE4091"/>
    <w:rsid w:val="00AE7AF0"/>
    <w:rsid w:val="00AF0443"/>
    <w:rsid w:val="00AF0BDE"/>
    <w:rsid w:val="00AF11E9"/>
    <w:rsid w:val="00AF1367"/>
    <w:rsid w:val="00AF447C"/>
    <w:rsid w:val="00AF575F"/>
    <w:rsid w:val="00AF6699"/>
    <w:rsid w:val="00AF6923"/>
    <w:rsid w:val="00AF7780"/>
    <w:rsid w:val="00AF7E6D"/>
    <w:rsid w:val="00B00BEA"/>
    <w:rsid w:val="00B0125D"/>
    <w:rsid w:val="00B01E78"/>
    <w:rsid w:val="00B02C0B"/>
    <w:rsid w:val="00B07C1C"/>
    <w:rsid w:val="00B10652"/>
    <w:rsid w:val="00B161AA"/>
    <w:rsid w:val="00B26878"/>
    <w:rsid w:val="00B277ED"/>
    <w:rsid w:val="00B27F59"/>
    <w:rsid w:val="00B32389"/>
    <w:rsid w:val="00B364BC"/>
    <w:rsid w:val="00B40045"/>
    <w:rsid w:val="00B40416"/>
    <w:rsid w:val="00B40646"/>
    <w:rsid w:val="00B44424"/>
    <w:rsid w:val="00B46B4D"/>
    <w:rsid w:val="00B500CA"/>
    <w:rsid w:val="00B53FB6"/>
    <w:rsid w:val="00B57C29"/>
    <w:rsid w:val="00B6503D"/>
    <w:rsid w:val="00B732B4"/>
    <w:rsid w:val="00B73D1D"/>
    <w:rsid w:val="00B80341"/>
    <w:rsid w:val="00B8084E"/>
    <w:rsid w:val="00B80C36"/>
    <w:rsid w:val="00B83494"/>
    <w:rsid w:val="00B84D7D"/>
    <w:rsid w:val="00B86314"/>
    <w:rsid w:val="00B93134"/>
    <w:rsid w:val="00B93514"/>
    <w:rsid w:val="00BA0971"/>
    <w:rsid w:val="00BA1C2E"/>
    <w:rsid w:val="00BA4C80"/>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3B8E"/>
    <w:rsid w:val="00BD41E4"/>
    <w:rsid w:val="00BE0680"/>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561B"/>
    <w:rsid w:val="00C169D7"/>
    <w:rsid w:val="00C20A95"/>
    <w:rsid w:val="00C21D11"/>
    <w:rsid w:val="00C23F79"/>
    <w:rsid w:val="00C25AD8"/>
    <w:rsid w:val="00C2674F"/>
    <w:rsid w:val="00C2692F"/>
    <w:rsid w:val="00C30B63"/>
    <w:rsid w:val="00C3207C"/>
    <w:rsid w:val="00C32BA9"/>
    <w:rsid w:val="00C32BB4"/>
    <w:rsid w:val="00C400E1"/>
    <w:rsid w:val="00C41187"/>
    <w:rsid w:val="00C42D14"/>
    <w:rsid w:val="00C433D5"/>
    <w:rsid w:val="00C45ECB"/>
    <w:rsid w:val="00C45FC7"/>
    <w:rsid w:val="00C46E95"/>
    <w:rsid w:val="00C47889"/>
    <w:rsid w:val="00C514DE"/>
    <w:rsid w:val="00C519D6"/>
    <w:rsid w:val="00C63C31"/>
    <w:rsid w:val="00C661F5"/>
    <w:rsid w:val="00C66A11"/>
    <w:rsid w:val="00C72FE8"/>
    <w:rsid w:val="00C73206"/>
    <w:rsid w:val="00C733A4"/>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A28DE"/>
    <w:rsid w:val="00CB22FB"/>
    <w:rsid w:val="00CB3198"/>
    <w:rsid w:val="00CB4592"/>
    <w:rsid w:val="00CB5E77"/>
    <w:rsid w:val="00CB6B99"/>
    <w:rsid w:val="00CC07C2"/>
    <w:rsid w:val="00CC118B"/>
    <w:rsid w:val="00CC2459"/>
    <w:rsid w:val="00CC2837"/>
    <w:rsid w:val="00CC59C6"/>
    <w:rsid w:val="00CD13DE"/>
    <w:rsid w:val="00CD227A"/>
    <w:rsid w:val="00CD2586"/>
    <w:rsid w:val="00CD6231"/>
    <w:rsid w:val="00CE2295"/>
    <w:rsid w:val="00CE22BA"/>
    <w:rsid w:val="00CE35E3"/>
    <w:rsid w:val="00CE38D2"/>
    <w:rsid w:val="00CE4C87"/>
    <w:rsid w:val="00CE544A"/>
    <w:rsid w:val="00CE6D84"/>
    <w:rsid w:val="00CF32A7"/>
    <w:rsid w:val="00CF4E15"/>
    <w:rsid w:val="00CF62B2"/>
    <w:rsid w:val="00D02009"/>
    <w:rsid w:val="00D11622"/>
    <w:rsid w:val="00D11E1C"/>
    <w:rsid w:val="00D12262"/>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13B8"/>
    <w:rsid w:val="00D44947"/>
    <w:rsid w:val="00D45E2B"/>
    <w:rsid w:val="00D474CF"/>
    <w:rsid w:val="00D51A4D"/>
    <w:rsid w:val="00D54C87"/>
    <w:rsid w:val="00D5547E"/>
    <w:rsid w:val="00D563F6"/>
    <w:rsid w:val="00D56E95"/>
    <w:rsid w:val="00D57076"/>
    <w:rsid w:val="00D67885"/>
    <w:rsid w:val="00D7046B"/>
    <w:rsid w:val="00D71DDE"/>
    <w:rsid w:val="00D7667D"/>
    <w:rsid w:val="00D76AA5"/>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C45"/>
    <w:rsid w:val="00DB5E73"/>
    <w:rsid w:val="00DC1F43"/>
    <w:rsid w:val="00DC23A9"/>
    <w:rsid w:val="00DC3060"/>
    <w:rsid w:val="00DD03F8"/>
    <w:rsid w:val="00DD2353"/>
    <w:rsid w:val="00DD2B83"/>
    <w:rsid w:val="00DD512B"/>
    <w:rsid w:val="00DD54A8"/>
    <w:rsid w:val="00DD6652"/>
    <w:rsid w:val="00DD722C"/>
    <w:rsid w:val="00DE041F"/>
    <w:rsid w:val="00DE08E5"/>
    <w:rsid w:val="00DE0FB2"/>
    <w:rsid w:val="00DE2F66"/>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73355"/>
    <w:rsid w:val="00E73684"/>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FF7"/>
    <w:rsid w:val="00EB068A"/>
    <w:rsid w:val="00EB1DA7"/>
    <w:rsid w:val="00EB3453"/>
    <w:rsid w:val="00EB34DB"/>
    <w:rsid w:val="00EB54FB"/>
    <w:rsid w:val="00EB59E9"/>
    <w:rsid w:val="00EB5BD4"/>
    <w:rsid w:val="00EB66F1"/>
    <w:rsid w:val="00EC3957"/>
    <w:rsid w:val="00EC4A78"/>
    <w:rsid w:val="00EC7FEC"/>
    <w:rsid w:val="00ED0A5F"/>
    <w:rsid w:val="00ED1345"/>
    <w:rsid w:val="00ED1971"/>
    <w:rsid w:val="00ED4F53"/>
    <w:rsid w:val="00ED52CA"/>
    <w:rsid w:val="00ED5860"/>
    <w:rsid w:val="00EE1828"/>
    <w:rsid w:val="00EE1B3E"/>
    <w:rsid w:val="00EE1B74"/>
    <w:rsid w:val="00EE35C9"/>
    <w:rsid w:val="00EE39AE"/>
    <w:rsid w:val="00EF4198"/>
    <w:rsid w:val="00EF7982"/>
    <w:rsid w:val="00F0438B"/>
    <w:rsid w:val="00F0529A"/>
    <w:rsid w:val="00F05ECA"/>
    <w:rsid w:val="00F07707"/>
    <w:rsid w:val="00F10D06"/>
    <w:rsid w:val="00F12D52"/>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71F9"/>
    <w:rsid w:val="00F57900"/>
    <w:rsid w:val="00F66DCA"/>
    <w:rsid w:val="00F67E1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3B1"/>
    <w:rsid w:val="00FA385D"/>
    <w:rsid w:val="00FA4A8D"/>
    <w:rsid w:val="00FA578E"/>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B5C45"/>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B5C4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24018684">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2194173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DDED-2F05-4084-A9F1-B57E4DD2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2AB4CABB</Template>
  <TotalTime>10</TotalTime>
  <Pages>9</Pages>
  <Words>3015</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5</cp:revision>
  <cp:lastPrinted>2019-05-17T10:23:00Z</cp:lastPrinted>
  <dcterms:created xsi:type="dcterms:W3CDTF">2019-06-21T11:50:00Z</dcterms:created>
  <dcterms:modified xsi:type="dcterms:W3CDTF">2019-06-21T14:25:00Z</dcterms:modified>
</cp:coreProperties>
</file>